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8F" w:rsidRPr="009E1A49" w:rsidRDefault="00735B8F" w:rsidP="00735B8F">
      <w:pPr>
        <w:tabs>
          <w:tab w:val="left" w:pos="1440"/>
        </w:tabs>
        <w:spacing w:line="360" w:lineRule="auto"/>
        <w:jc w:val="center"/>
        <w:rPr>
          <w:b/>
          <w:bCs/>
          <w:sz w:val="28"/>
          <w:szCs w:val="28"/>
        </w:rPr>
      </w:pPr>
      <w:r w:rsidRPr="009E1A49">
        <w:rPr>
          <w:b/>
          <w:bCs/>
          <w:sz w:val="28"/>
          <w:szCs w:val="28"/>
          <w:u w:val="single"/>
        </w:rPr>
        <w:t>ΕΚΘΕΣΗ ΔΙΑΧΕΙΡΙΣΗΣ</w:t>
      </w:r>
      <w:r w:rsidRPr="009E1A49">
        <w:rPr>
          <w:b/>
          <w:bCs/>
          <w:sz w:val="28"/>
          <w:szCs w:val="28"/>
        </w:rPr>
        <w:t xml:space="preserve"> </w:t>
      </w:r>
    </w:p>
    <w:p w:rsidR="00735B8F" w:rsidRPr="00A025FD" w:rsidRDefault="00735B8F" w:rsidP="00735B8F">
      <w:pPr>
        <w:tabs>
          <w:tab w:val="left" w:pos="1440"/>
        </w:tabs>
        <w:spacing w:line="360" w:lineRule="auto"/>
        <w:jc w:val="center"/>
        <w:rPr>
          <w:b/>
          <w:bCs/>
        </w:rPr>
      </w:pPr>
      <w:r w:rsidRPr="00A025FD">
        <w:rPr>
          <w:b/>
          <w:bCs/>
        </w:rPr>
        <w:t xml:space="preserve">ΤΟΥ ΔΙΟΙΚΗΤΙΚΟΥ ΣΥΜΒΟΥΛΙΟΥ </w:t>
      </w:r>
    </w:p>
    <w:p w:rsidR="00735B8F" w:rsidRPr="00A025FD" w:rsidRDefault="00735B8F" w:rsidP="00735B8F">
      <w:pPr>
        <w:tabs>
          <w:tab w:val="left" w:pos="1440"/>
        </w:tabs>
        <w:spacing w:line="360" w:lineRule="auto"/>
        <w:jc w:val="center"/>
        <w:rPr>
          <w:b/>
          <w:bCs/>
        </w:rPr>
      </w:pPr>
      <w:r w:rsidRPr="00A025FD">
        <w:rPr>
          <w:b/>
          <w:bCs/>
        </w:rPr>
        <w:t xml:space="preserve">ΠΡΟΣ ΤΗΝ ΤΑΚΤΙΚΗ ΓΕΝΙΚΗ ΣΥΝΕΛΕΥΣΗ ΤΩΝ ΜΕΤΟΧΩΝ </w:t>
      </w:r>
    </w:p>
    <w:p w:rsidR="00735B8F" w:rsidRPr="004E73CE" w:rsidRDefault="00735B8F" w:rsidP="00735B8F">
      <w:pPr>
        <w:tabs>
          <w:tab w:val="left" w:pos="1440"/>
        </w:tabs>
        <w:spacing w:line="360" w:lineRule="auto"/>
        <w:jc w:val="center"/>
        <w:rPr>
          <w:b/>
          <w:bCs/>
        </w:rPr>
      </w:pPr>
      <w:r w:rsidRPr="00A025FD">
        <w:rPr>
          <w:b/>
          <w:bCs/>
        </w:rPr>
        <w:t xml:space="preserve"> ΕΠΙ ΤΟΥ ΙΣΟΛΟΓΙΣΜΟΥ ΚΑΙ ΤΩΝ ΑΠΟΤΕΛΕΣΜΑΤΩΝ ΧΡΗΣΗΣ </w:t>
      </w:r>
      <w:r w:rsidR="00CA1D8D" w:rsidRPr="00CA1D8D">
        <w:rPr>
          <w:b/>
          <w:bCs/>
        </w:rPr>
        <w:t>201</w:t>
      </w:r>
      <w:r w:rsidR="00F424C2">
        <w:rPr>
          <w:b/>
          <w:bCs/>
        </w:rPr>
        <w:t>8</w:t>
      </w:r>
    </w:p>
    <w:p w:rsidR="00735B8F" w:rsidRPr="004E73CE" w:rsidRDefault="00735B8F" w:rsidP="00735B8F">
      <w:pPr>
        <w:tabs>
          <w:tab w:val="left" w:pos="1440"/>
        </w:tabs>
        <w:spacing w:line="360" w:lineRule="auto"/>
        <w:jc w:val="center"/>
        <w:rPr>
          <w:b/>
          <w:bCs/>
        </w:rPr>
      </w:pPr>
      <w:r w:rsidRPr="00A025FD">
        <w:rPr>
          <w:b/>
          <w:bCs/>
        </w:rPr>
        <w:t>ΠΕΡΙΟΔΟΣ 1/1/</w:t>
      </w:r>
      <w:r w:rsidR="00165B0F" w:rsidRPr="00F10FB4">
        <w:rPr>
          <w:b/>
          <w:bCs/>
        </w:rPr>
        <w:t>20</w:t>
      </w:r>
      <w:r w:rsidR="00E51CFA" w:rsidRPr="00F10FB4">
        <w:rPr>
          <w:b/>
          <w:bCs/>
        </w:rPr>
        <w:t>1</w:t>
      </w:r>
      <w:r w:rsidR="00F424C2">
        <w:rPr>
          <w:b/>
          <w:bCs/>
        </w:rPr>
        <w:t>8</w:t>
      </w:r>
      <w:r w:rsidR="00CA1D8D" w:rsidRPr="004E73CE">
        <w:rPr>
          <w:b/>
          <w:bCs/>
        </w:rPr>
        <w:t xml:space="preserve"> </w:t>
      </w:r>
      <w:r w:rsidRPr="00A025FD">
        <w:rPr>
          <w:b/>
          <w:bCs/>
        </w:rPr>
        <w:t>- 31/12/</w:t>
      </w:r>
      <w:r w:rsidR="007E484A" w:rsidRPr="00F10FB4">
        <w:rPr>
          <w:b/>
          <w:bCs/>
        </w:rPr>
        <w:t>201</w:t>
      </w:r>
      <w:r w:rsidR="00F424C2">
        <w:rPr>
          <w:b/>
          <w:bCs/>
        </w:rPr>
        <w:t>8</w:t>
      </w:r>
    </w:p>
    <w:p w:rsidR="001A6916" w:rsidRDefault="001A6916" w:rsidP="00735B8F">
      <w:pPr>
        <w:tabs>
          <w:tab w:val="left" w:pos="720"/>
        </w:tabs>
        <w:spacing w:line="360" w:lineRule="auto"/>
        <w:jc w:val="both"/>
      </w:pPr>
    </w:p>
    <w:p w:rsidR="001A6916" w:rsidRPr="001A6916" w:rsidRDefault="001A6916" w:rsidP="004E73CE">
      <w:pPr>
        <w:tabs>
          <w:tab w:val="left" w:pos="1440"/>
        </w:tabs>
        <w:spacing w:line="360" w:lineRule="auto"/>
        <w:jc w:val="both"/>
      </w:pPr>
      <w:r w:rsidRPr="001A6916">
        <w:t xml:space="preserve">Κύριοι Μέτοχοι, </w:t>
      </w:r>
    </w:p>
    <w:p w:rsidR="001A6916" w:rsidRPr="001A6916" w:rsidRDefault="001A6916" w:rsidP="004E73CE">
      <w:pPr>
        <w:tabs>
          <w:tab w:val="left" w:pos="1440"/>
        </w:tabs>
        <w:spacing w:line="360" w:lineRule="auto"/>
        <w:jc w:val="both"/>
      </w:pPr>
      <w:r w:rsidRPr="001A6916">
        <w:t>υποβάλλουμε συνημμένα στη γενική συνέλευσή σας τις οικονομικές καταστάσεις της εταιρείας για τη χρήση 01/01/201</w:t>
      </w:r>
      <w:r w:rsidR="00F424C2">
        <w:t xml:space="preserve">8 </w:t>
      </w:r>
      <w:r w:rsidRPr="001A6916">
        <w:t>- 31/12/201</w:t>
      </w:r>
      <w:r w:rsidR="00F424C2">
        <w:t>8</w:t>
      </w:r>
      <w:r w:rsidRPr="001A6916">
        <w:t xml:space="preserve"> καθώς επίσης και την έκθεση πεπραγμένων της χρήσης και παρακαλούμε όπως τις εγκρίνετε.</w:t>
      </w:r>
    </w:p>
    <w:p w:rsidR="001A6916" w:rsidRPr="001A6916" w:rsidRDefault="001A6916" w:rsidP="001A6916">
      <w:pPr>
        <w:suppressAutoHyphens/>
        <w:spacing w:line="360" w:lineRule="auto"/>
        <w:jc w:val="both"/>
        <w:rPr>
          <w:rFonts w:ascii="Arial" w:eastAsia="SimSun" w:hAnsi="Arial" w:cs="Mangal"/>
          <w:kern w:val="1"/>
          <w:sz w:val="20"/>
          <w:szCs w:val="20"/>
          <w:highlight w:val="yellow"/>
          <w:lang w:eastAsia="hi-IN" w:bidi="hi-IN"/>
        </w:rPr>
      </w:pPr>
    </w:p>
    <w:p w:rsidR="001A6916" w:rsidRPr="001A6916" w:rsidRDefault="001A6916" w:rsidP="001A6916">
      <w:pPr>
        <w:numPr>
          <w:ilvl w:val="0"/>
          <w:numId w:val="2"/>
        </w:numPr>
        <w:suppressAutoHyphens/>
        <w:spacing w:line="360" w:lineRule="auto"/>
        <w:jc w:val="both"/>
        <w:rPr>
          <w:rFonts w:ascii="Arial" w:eastAsia="SimSun" w:hAnsi="Arial" w:cs="Mangal"/>
          <w:i/>
          <w:kern w:val="1"/>
          <w:szCs w:val="20"/>
          <w:u w:val="single"/>
          <w:lang w:eastAsia="hi-IN" w:bidi="hi-IN"/>
        </w:rPr>
      </w:pPr>
      <w:r w:rsidRPr="001A6916">
        <w:rPr>
          <w:rFonts w:ascii="Arial" w:eastAsia="SimSun" w:hAnsi="Arial" w:cs="Mangal"/>
          <w:i/>
          <w:kern w:val="1"/>
          <w:szCs w:val="20"/>
          <w:u w:val="single"/>
          <w:lang w:eastAsia="hi-IN" w:bidi="hi-IN"/>
        </w:rPr>
        <w:t>Οικονομική Κατάσταση της εταιρείας</w:t>
      </w:r>
    </w:p>
    <w:p w:rsidR="001A6916" w:rsidRDefault="001A6916" w:rsidP="001A6916">
      <w:pPr>
        <w:suppressAutoHyphens/>
        <w:spacing w:line="360" w:lineRule="auto"/>
        <w:ind w:firstLine="720"/>
        <w:jc w:val="both"/>
      </w:pPr>
      <w:r w:rsidRPr="00E57476">
        <w:t>Τα κυριότερα σημεία της δραστηριότητας της παρούσας χρήσης είναι τα εξής:</w:t>
      </w:r>
    </w:p>
    <w:p w:rsidR="004E73CE" w:rsidRPr="00E57476" w:rsidRDefault="004E73CE" w:rsidP="001A6916">
      <w:pPr>
        <w:suppressAutoHyphens/>
        <w:spacing w:line="360" w:lineRule="auto"/>
        <w:ind w:firstLine="720"/>
        <w:jc w:val="both"/>
      </w:pPr>
    </w:p>
    <w:p w:rsidR="001A6916" w:rsidRPr="00E57476" w:rsidRDefault="001A6916" w:rsidP="001A6916">
      <w:pPr>
        <w:tabs>
          <w:tab w:val="left" w:pos="180"/>
          <w:tab w:val="left" w:pos="717"/>
        </w:tabs>
        <w:suppressAutoHyphens/>
        <w:spacing w:line="360" w:lineRule="auto"/>
        <w:jc w:val="both"/>
        <w:rPr>
          <w:rFonts w:eastAsia="SimSun"/>
          <w:kern w:val="1"/>
          <w:lang w:eastAsia="hi-IN" w:bidi="hi-IN"/>
        </w:rPr>
      </w:pPr>
      <w:r w:rsidRPr="004E73CE">
        <w:rPr>
          <w:rFonts w:eastAsia="SimSun"/>
          <w:kern w:val="1"/>
          <w:lang w:eastAsia="hi-IN" w:bidi="hi-IN"/>
        </w:rPr>
        <w:t>1.1</w:t>
      </w:r>
      <w:r w:rsidRPr="001A6916">
        <w:rPr>
          <w:rFonts w:eastAsia="SimSun"/>
          <w:kern w:val="1"/>
          <w:sz w:val="20"/>
          <w:szCs w:val="20"/>
          <w:lang w:eastAsia="hi-IN" w:bidi="hi-IN"/>
        </w:rPr>
        <w:t xml:space="preserve"> </w:t>
      </w:r>
      <w:r w:rsidRPr="00E57476">
        <w:rPr>
          <w:rFonts w:eastAsia="SimSun"/>
          <w:b/>
          <w:kern w:val="1"/>
          <w:lang w:eastAsia="hi-IN" w:bidi="hi-IN"/>
        </w:rPr>
        <w:t>Ο κύκλος εργασιών</w:t>
      </w:r>
      <w:r w:rsidRPr="00E57476">
        <w:rPr>
          <w:rFonts w:eastAsia="SimSun"/>
          <w:kern w:val="1"/>
          <w:lang w:eastAsia="hi-IN" w:bidi="hi-IN"/>
        </w:rPr>
        <w:t xml:space="preserve"> έφθασε το ποσό των </w:t>
      </w:r>
      <w:r w:rsidR="0070058E" w:rsidRPr="0070058E">
        <w:rPr>
          <w:bCs/>
        </w:rPr>
        <w:t>1.112.406,13</w:t>
      </w:r>
      <w:r w:rsidR="004E73CE" w:rsidRPr="004E73CE">
        <w:rPr>
          <w:bCs/>
        </w:rPr>
        <w:t xml:space="preserve"> </w:t>
      </w:r>
      <w:r w:rsidRPr="00E57476">
        <w:rPr>
          <w:rFonts w:eastAsia="SimSun"/>
          <w:kern w:val="1"/>
          <w:lang w:eastAsia="hi-IN" w:bidi="hi-IN"/>
        </w:rPr>
        <w:t xml:space="preserve">έναντι </w:t>
      </w:r>
      <w:r w:rsidR="0070058E" w:rsidRPr="004E73CE">
        <w:rPr>
          <w:bCs/>
        </w:rPr>
        <w:t xml:space="preserve">1.237.610,60 </w:t>
      </w:r>
      <w:r w:rsidR="0070058E" w:rsidRPr="0070058E">
        <w:rPr>
          <w:bCs/>
        </w:rPr>
        <w:t xml:space="preserve"> </w:t>
      </w:r>
      <w:r w:rsidRPr="00E57476">
        <w:rPr>
          <w:rFonts w:eastAsia="SimSun"/>
          <w:kern w:val="1"/>
          <w:lang w:eastAsia="hi-IN" w:bidi="hi-IN"/>
        </w:rPr>
        <w:t xml:space="preserve">ευρώ της προηγούμενης χρήσης. </w:t>
      </w:r>
    </w:p>
    <w:p w:rsidR="001A6916" w:rsidRPr="00E57476" w:rsidRDefault="001A6916" w:rsidP="001A6916">
      <w:pPr>
        <w:tabs>
          <w:tab w:val="left" w:pos="180"/>
          <w:tab w:val="left" w:pos="717"/>
        </w:tabs>
        <w:suppressAutoHyphens/>
        <w:spacing w:line="360" w:lineRule="auto"/>
        <w:jc w:val="both"/>
        <w:rPr>
          <w:rFonts w:ascii="Arial" w:eastAsia="SimSun" w:hAnsi="Arial" w:cs="Mangal"/>
          <w:kern w:val="1"/>
          <w:lang w:eastAsia="hi-IN" w:bidi="hi-IN"/>
        </w:rPr>
      </w:pPr>
    </w:p>
    <w:p w:rsidR="001A6916" w:rsidRPr="00E57476" w:rsidRDefault="001A6916" w:rsidP="001A6916">
      <w:pPr>
        <w:tabs>
          <w:tab w:val="left" w:pos="360"/>
        </w:tabs>
        <w:suppressAutoHyphens/>
        <w:spacing w:line="360" w:lineRule="auto"/>
        <w:ind w:left="360" w:hanging="360"/>
        <w:jc w:val="both"/>
        <w:rPr>
          <w:rFonts w:eastAsia="SimSun"/>
          <w:kern w:val="1"/>
          <w:lang w:eastAsia="hi-IN" w:bidi="hi-IN"/>
        </w:rPr>
      </w:pPr>
      <w:r w:rsidRPr="00E57476">
        <w:rPr>
          <w:rFonts w:eastAsia="SimSun"/>
          <w:kern w:val="1"/>
          <w:lang w:eastAsia="hi-IN" w:bidi="hi-IN"/>
        </w:rPr>
        <w:t xml:space="preserve">1.2 Το </w:t>
      </w:r>
      <w:r w:rsidRPr="00E57476">
        <w:rPr>
          <w:rFonts w:eastAsia="SimSun"/>
          <w:b/>
          <w:kern w:val="1"/>
          <w:lang w:eastAsia="hi-IN" w:bidi="hi-IN"/>
        </w:rPr>
        <w:t>σύνολο της</w:t>
      </w:r>
      <w:r w:rsidRPr="00E57476">
        <w:rPr>
          <w:rFonts w:eastAsia="SimSun"/>
          <w:kern w:val="1"/>
          <w:lang w:eastAsia="hi-IN" w:bidi="hi-IN"/>
        </w:rPr>
        <w:t xml:space="preserve"> </w:t>
      </w:r>
      <w:r w:rsidRPr="00E57476">
        <w:rPr>
          <w:rFonts w:eastAsia="SimSun"/>
          <w:b/>
          <w:kern w:val="1"/>
          <w:lang w:eastAsia="hi-IN" w:bidi="hi-IN"/>
        </w:rPr>
        <w:t>αξίας των παγίων στοιχείων</w:t>
      </w:r>
      <w:r w:rsidRPr="00E57476">
        <w:rPr>
          <w:rFonts w:eastAsia="SimSun"/>
          <w:kern w:val="1"/>
          <w:lang w:eastAsia="hi-IN" w:bidi="hi-IN"/>
        </w:rPr>
        <w:t xml:space="preserve"> μετά την αφαίρεση των αποσβέσεων έφθασε στο ποσό των </w:t>
      </w:r>
      <w:r w:rsidR="0070058E" w:rsidRPr="0070058E">
        <w:rPr>
          <w:rFonts w:eastAsia="SimSun"/>
          <w:kern w:val="1"/>
          <w:lang w:eastAsia="hi-IN" w:bidi="hi-IN"/>
        </w:rPr>
        <w:t>306.545,46</w:t>
      </w:r>
      <w:r w:rsidR="004E73CE">
        <w:rPr>
          <w:rFonts w:eastAsia="SimSun"/>
          <w:kern w:val="1"/>
          <w:lang w:eastAsia="hi-IN" w:bidi="hi-IN"/>
        </w:rPr>
        <w:t xml:space="preserve"> ευρώ</w:t>
      </w:r>
      <w:r w:rsidRPr="00E57476">
        <w:rPr>
          <w:rFonts w:eastAsia="SimSun"/>
          <w:kern w:val="1"/>
          <w:lang w:eastAsia="hi-IN" w:bidi="hi-IN"/>
        </w:rPr>
        <w:t xml:space="preserve"> έναντι </w:t>
      </w:r>
      <w:r w:rsidR="0070058E" w:rsidRPr="004E73CE">
        <w:rPr>
          <w:rFonts w:eastAsia="SimSun"/>
          <w:kern w:val="1"/>
          <w:lang w:eastAsia="hi-IN" w:bidi="hi-IN"/>
        </w:rPr>
        <w:t>33</w:t>
      </w:r>
      <w:r w:rsidR="0070058E" w:rsidRPr="0070058E">
        <w:rPr>
          <w:rFonts w:eastAsia="SimSun"/>
          <w:kern w:val="1"/>
          <w:lang w:eastAsia="hi-IN" w:bidi="hi-IN"/>
        </w:rPr>
        <w:t>2</w:t>
      </w:r>
      <w:r w:rsidR="0070058E">
        <w:rPr>
          <w:rFonts w:eastAsia="SimSun"/>
          <w:kern w:val="1"/>
          <w:lang w:eastAsia="hi-IN" w:bidi="hi-IN"/>
        </w:rPr>
        <w:t>.</w:t>
      </w:r>
      <w:r w:rsidR="0070058E" w:rsidRPr="0070058E">
        <w:rPr>
          <w:rFonts w:eastAsia="SimSun"/>
          <w:kern w:val="1"/>
          <w:lang w:eastAsia="hi-IN" w:bidi="hi-IN"/>
        </w:rPr>
        <w:t>0</w:t>
      </w:r>
      <w:r w:rsidR="0070058E">
        <w:rPr>
          <w:rFonts w:eastAsia="SimSun"/>
          <w:kern w:val="1"/>
          <w:lang w:eastAsia="hi-IN" w:bidi="hi-IN"/>
        </w:rPr>
        <w:t>41,84</w:t>
      </w:r>
      <w:r w:rsidR="0070058E" w:rsidRPr="0070058E">
        <w:rPr>
          <w:rFonts w:eastAsia="SimSun"/>
          <w:kern w:val="1"/>
          <w:lang w:eastAsia="hi-IN" w:bidi="hi-IN"/>
        </w:rPr>
        <w:t xml:space="preserve"> </w:t>
      </w:r>
      <w:r w:rsidRPr="00E57476">
        <w:rPr>
          <w:rFonts w:eastAsia="SimSun"/>
          <w:kern w:val="1"/>
          <w:lang w:eastAsia="hi-IN" w:bidi="hi-IN"/>
        </w:rPr>
        <w:t xml:space="preserve">ευρώ της προηγούμενης χρήσης. </w:t>
      </w:r>
    </w:p>
    <w:p w:rsidR="001A6916" w:rsidRPr="00E57476" w:rsidRDefault="001A6916" w:rsidP="001A6916">
      <w:pPr>
        <w:tabs>
          <w:tab w:val="left" w:pos="360"/>
        </w:tabs>
        <w:suppressAutoHyphens/>
        <w:spacing w:line="360" w:lineRule="auto"/>
        <w:ind w:left="360" w:hanging="360"/>
        <w:jc w:val="both"/>
        <w:rPr>
          <w:rFonts w:eastAsia="SimSun"/>
          <w:kern w:val="1"/>
          <w:lang w:eastAsia="hi-IN" w:bidi="hi-IN"/>
        </w:rPr>
      </w:pPr>
    </w:p>
    <w:p w:rsidR="001A6916" w:rsidRPr="00E57476" w:rsidRDefault="001A6916" w:rsidP="001A6916">
      <w:pPr>
        <w:tabs>
          <w:tab w:val="left" w:pos="360"/>
        </w:tabs>
        <w:suppressAutoHyphens/>
        <w:spacing w:line="360" w:lineRule="auto"/>
        <w:jc w:val="both"/>
        <w:rPr>
          <w:rFonts w:eastAsia="SimSun"/>
          <w:kern w:val="1"/>
          <w:lang w:eastAsia="hi-IN" w:bidi="hi-IN"/>
        </w:rPr>
      </w:pPr>
      <w:r w:rsidRPr="00E57476">
        <w:rPr>
          <w:rFonts w:eastAsia="SimSun"/>
          <w:kern w:val="1"/>
          <w:lang w:eastAsia="hi-IN" w:bidi="hi-IN"/>
        </w:rPr>
        <w:t xml:space="preserve">1.3 Το </w:t>
      </w:r>
      <w:r w:rsidRPr="00E57476">
        <w:rPr>
          <w:rFonts w:eastAsia="SimSun"/>
          <w:b/>
          <w:kern w:val="1"/>
          <w:lang w:eastAsia="hi-IN" w:bidi="hi-IN"/>
        </w:rPr>
        <w:t>καταβλημένο μετοχικό κεφάλαιο</w:t>
      </w:r>
      <w:r w:rsidRPr="00E57476">
        <w:rPr>
          <w:rFonts w:eastAsia="SimSun"/>
          <w:kern w:val="1"/>
          <w:lang w:eastAsia="hi-IN" w:bidi="hi-IN"/>
        </w:rPr>
        <w:t xml:space="preserve"> ανέρχεται στο ποσό των 78.000,00 ευρώ.</w:t>
      </w:r>
    </w:p>
    <w:p w:rsidR="001A6916" w:rsidRPr="00E57476" w:rsidRDefault="001A6916" w:rsidP="001A6916">
      <w:pPr>
        <w:tabs>
          <w:tab w:val="left" w:pos="360"/>
        </w:tabs>
        <w:suppressAutoHyphens/>
        <w:spacing w:line="360" w:lineRule="auto"/>
        <w:jc w:val="both"/>
        <w:rPr>
          <w:rFonts w:eastAsia="SimSun"/>
          <w:kern w:val="1"/>
          <w:lang w:eastAsia="hi-IN" w:bidi="hi-IN"/>
        </w:rPr>
      </w:pPr>
      <w:r w:rsidRPr="00E57476">
        <w:rPr>
          <w:rFonts w:eastAsia="SimSun"/>
          <w:kern w:val="1"/>
          <w:lang w:eastAsia="hi-IN" w:bidi="hi-IN"/>
        </w:rPr>
        <w:t xml:space="preserve"> </w:t>
      </w:r>
    </w:p>
    <w:p w:rsidR="001A6916" w:rsidRPr="00E57476" w:rsidRDefault="001A6916" w:rsidP="001A6916">
      <w:pPr>
        <w:pStyle w:val="a6"/>
        <w:tabs>
          <w:tab w:val="left" w:pos="717"/>
        </w:tabs>
        <w:suppressAutoHyphens/>
        <w:spacing w:after="0" w:line="360" w:lineRule="auto"/>
        <w:ind w:left="360"/>
        <w:jc w:val="both"/>
        <w:rPr>
          <w:rFonts w:ascii="Times New Roman" w:eastAsia="SimSun" w:hAnsi="Times New Roman"/>
          <w:kern w:val="1"/>
          <w:sz w:val="24"/>
          <w:szCs w:val="24"/>
          <w:lang w:val="el-GR" w:eastAsia="hi-IN" w:bidi="hi-IN"/>
        </w:rPr>
      </w:pPr>
    </w:p>
    <w:p w:rsidR="001A6916" w:rsidRPr="00E57476" w:rsidRDefault="001A6916" w:rsidP="004E73CE">
      <w:pPr>
        <w:numPr>
          <w:ilvl w:val="1"/>
          <w:numId w:val="3"/>
        </w:numPr>
        <w:tabs>
          <w:tab w:val="left" w:pos="717"/>
        </w:tabs>
        <w:suppressAutoHyphens/>
        <w:spacing w:line="360" w:lineRule="auto"/>
        <w:jc w:val="both"/>
        <w:rPr>
          <w:rFonts w:eastAsia="SimSun"/>
          <w:kern w:val="1"/>
          <w:lang w:eastAsia="hi-IN" w:bidi="hi-IN"/>
        </w:rPr>
      </w:pPr>
      <w:r w:rsidRPr="00E57476">
        <w:rPr>
          <w:rFonts w:eastAsia="SimSun"/>
          <w:kern w:val="1"/>
          <w:lang w:eastAsia="hi-IN" w:bidi="hi-IN"/>
        </w:rPr>
        <w:t xml:space="preserve">Το </w:t>
      </w:r>
      <w:r w:rsidRPr="00E57476">
        <w:rPr>
          <w:rFonts w:eastAsia="SimSun"/>
          <w:b/>
          <w:kern w:val="1"/>
          <w:lang w:eastAsia="hi-IN" w:bidi="hi-IN"/>
        </w:rPr>
        <w:t>σύνολο του κυκλοφορούντος ενεργητικού</w:t>
      </w:r>
      <w:r w:rsidRPr="00E57476">
        <w:rPr>
          <w:rFonts w:eastAsia="SimSun"/>
          <w:kern w:val="1"/>
          <w:lang w:eastAsia="hi-IN" w:bidi="hi-IN"/>
        </w:rPr>
        <w:t xml:space="preserve"> έφθασε το ποσό των </w:t>
      </w:r>
      <w:r w:rsidR="00C642E4">
        <w:rPr>
          <w:color w:val="000000"/>
        </w:rPr>
        <w:t>325.</w:t>
      </w:r>
      <w:r w:rsidR="00C642E4" w:rsidRPr="00C642E4">
        <w:rPr>
          <w:color w:val="000000"/>
        </w:rPr>
        <w:t>553,93</w:t>
      </w:r>
      <w:r w:rsidR="004E73CE">
        <w:rPr>
          <w:color w:val="000000"/>
        </w:rPr>
        <w:t xml:space="preserve"> </w:t>
      </w:r>
      <w:r w:rsidRPr="00E57476">
        <w:rPr>
          <w:rFonts w:eastAsia="SimSun"/>
          <w:kern w:val="1"/>
          <w:lang w:eastAsia="hi-IN" w:bidi="hi-IN"/>
        </w:rPr>
        <w:t>ευρώ.</w:t>
      </w:r>
    </w:p>
    <w:p w:rsidR="00735B8F" w:rsidRPr="00A025FD" w:rsidRDefault="00735B8F" w:rsidP="00735B8F">
      <w:pPr>
        <w:tabs>
          <w:tab w:val="left" w:pos="1440"/>
        </w:tabs>
        <w:spacing w:line="360" w:lineRule="auto"/>
        <w:rPr>
          <w:b/>
          <w:bCs/>
        </w:rPr>
      </w:pPr>
    </w:p>
    <w:p w:rsidR="00735B8F" w:rsidRDefault="00735B8F" w:rsidP="007E484A">
      <w:pPr>
        <w:spacing w:line="360" w:lineRule="auto"/>
        <w:ind w:firstLine="720"/>
        <w:jc w:val="both"/>
      </w:pPr>
      <w:r w:rsidRPr="00A025FD">
        <w:t xml:space="preserve">Οι βασικοί χρηματοοικονομικοί δείκτες της εταιρείας για τις χρήσεις </w:t>
      </w:r>
      <w:r w:rsidR="00254217">
        <w:t>20</w:t>
      </w:r>
      <w:r w:rsidR="00E51CFA" w:rsidRPr="00E51CFA">
        <w:t>1</w:t>
      </w:r>
      <w:r w:rsidR="00C642E4">
        <w:t>8</w:t>
      </w:r>
      <w:r w:rsidRPr="00A025FD">
        <w:t xml:space="preserve"> και </w:t>
      </w:r>
      <w:r w:rsidR="007E484A" w:rsidRPr="007E484A">
        <w:t>201</w:t>
      </w:r>
      <w:r w:rsidR="00C642E4">
        <w:t>7</w:t>
      </w:r>
      <w:r w:rsidR="007E484A" w:rsidRPr="007E484A">
        <w:t xml:space="preserve">, </w:t>
      </w:r>
      <w:r w:rsidR="007E484A">
        <w:t>έχουν ως εξής:</w:t>
      </w:r>
    </w:p>
    <w:p w:rsidR="00525943" w:rsidRDefault="00525943" w:rsidP="007E484A">
      <w:pPr>
        <w:spacing w:line="360" w:lineRule="auto"/>
        <w:ind w:firstLine="720"/>
        <w:jc w:val="both"/>
      </w:pPr>
    </w:p>
    <w:p w:rsidR="00525943" w:rsidRDefault="00525943" w:rsidP="007E484A">
      <w:pPr>
        <w:spacing w:line="360" w:lineRule="auto"/>
        <w:ind w:firstLine="720"/>
        <w:jc w:val="both"/>
      </w:pPr>
    </w:p>
    <w:p w:rsidR="003A15BC" w:rsidRDefault="003A15BC" w:rsidP="007E484A">
      <w:pPr>
        <w:spacing w:line="360" w:lineRule="auto"/>
        <w:ind w:firstLine="720"/>
        <w:jc w:val="both"/>
      </w:pPr>
    </w:p>
    <w:p w:rsidR="00525943" w:rsidRPr="004E226F" w:rsidRDefault="00525943" w:rsidP="007E484A">
      <w:pPr>
        <w:spacing w:line="360" w:lineRule="auto"/>
        <w:ind w:firstLine="720"/>
        <w:jc w:val="both"/>
      </w:pPr>
    </w:p>
    <w:p w:rsidR="00811207" w:rsidRDefault="00811207" w:rsidP="007E484A">
      <w:pPr>
        <w:spacing w:line="360" w:lineRule="auto"/>
        <w:ind w:firstLine="720"/>
        <w:jc w:val="both"/>
      </w:pPr>
    </w:p>
    <w:tbl>
      <w:tblPr>
        <w:tblW w:w="9280" w:type="dxa"/>
        <w:tblInd w:w="108" w:type="dxa"/>
        <w:tblLook w:val="04A0" w:firstRow="1" w:lastRow="0" w:firstColumn="1" w:lastColumn="0" w:noHBand="0" w:noVBand="1"/>
      </w:tblPr>
      <w:tblGrid>
        <w:gridCol w:w="3790"/>
        <w:gridCol w:w="1642"/>
        <w:gridCol w:w="1097"/>
        <w:gridCol w:w="1654"/>
        <w:gridCol w:w="1097"/>
      </w:tblGrid>
      <w:tr w:rsidR="00C642E4" w:rsidTr="00C642E4">
        <w:trPr>
          <w:trHeight w:val="315"/>
        </w:trPr>
        <w:tc>
          <w:tcPr>
            <w:tcW w:w="9280" w:type="dxa"/>
            <w:gridSpan w:val="5"/>
            <w:tcBorders>
              <w:top w:val="nil"/>
              <w:left w:val="nil"/>
              <w:bottom w:val="nil"/>
              <w:right w:val="nil"/>
            </w:tcBorders>
            <w:shd w:val="clear" w:color="auto" w:fill="auto"/>
            <w:noWrap/>
            <w:vAlign w:val="bottom"/>
            <w:hideMark/>
          </w:tcPr>
          <w:p w:rsidR="00C642E4" w:rsidRDefault="00C642E4">
            <w:pPr>
              <w:jc w:val="center"/>
              <w:rPr>
                <w:rFonts w:ascii="Arial" w:hAnsi="Arial" w:cs="Arial"/>
                <w:b/>
                <w:bCs/>
                <w:color w:val="000000"/>
              </w:rPr>
            </w:pPr>
            <w:r>
              <w:rPr>
                <w:rFonts w:ascii="Arial" w:hAnsi="Arial" w:cs="Arial"/>
                <w:b/>
                <w:bCs/>
                <w:color w:val="000000"/>
              </w:rPr>
              <w:lastRenderedPageBreak/>
              <w:t>Αριθμοδείκτες οικονομικής διάρθρωσης</w:t>
            </w:r>
          </w:p>
        </w:tc>
      </w:tr>
      <w:tr w:rsidR="00C642E4" w:rsidTr="00C642E4">
        <w:trPr>
          <w:trHeight w:val="315"/>
        </w:trPr>
        <w:tc>
          <w:tcPr>
            <w:tcW w:w="3790" w:type="dxa"/>
            <w:tcBorders>
              <w:top w:val="nil"/>
              <w:left w:val="nil"/>
              <w:bottom w:val="nil"/>
              <w:right w:val="nil"/>
            </w:tcBorders>
            <w:shd w:val="clear" w:color="auto" w:fill="auto"/>
            <w:noWrap/>
            <w:vAlign w:val="bottom"/>
            <w:hideMark/>
          </w:tcPr>
          <w:p w:rsidR="00C642E4" w:rsidRDefault="00C642E4">
            <w:pPr>
              <w:jc w:val="center"/>
              <w:rPr>
                <w:rFonts w:ascii="Arial" w:hAnsi="Arial" w:cs="Arial"/>
                <w:b/>
                <w:bCs/>
                <w:color w:val="000000"/>
              </w:rPr>
            </w:pPr>
          </w:p>
        </w:tc>
        <w:tc>
          <w:tcPr>
            <w:tcW w:w="1642" w:type="dxa"/>
            <w:tcBorders>
              <w:top w:val="nil"/>
              <w:left w:val="nil"/>
              <w:bottom w:val="nil"/>
              <w:right w:val="nil"/>
            </w:tcBorders>
            <w:shd w:val="clear" w:color="auto" w:fill="auto"/>
            <w:noWrap/>
            <w:vAlign w:val="bottom"/>
            <w:hideMark/>
          </w:tcPr>
          <w:p w:rsidR="00C642E4" w:rsidRDefault="00C642E4">
            <w:pPr>
              <w:jc w:val="cente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jc w:val="cente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jc w:val="cente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jc w:val="center"/>
              <w:rPr>
                <w:sz w:val="20"/>
                <w:szCs w:val="20"/>
              </w:rPr>
            </w:pP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rPr>
                <w:rFonts w:ascii="Arial" w:hAnsi="Arial" w:cs="Arial"/>
                <w:color w:val="000000"/>
                <w:sz w:val="20"/>
                <w:szCs w:val="20"/>
              </w:rPr>
            </w:pPr>
            <w:r>
              <w:rPr>
                <w:rFonts w:ascii="Arial" w:hAnsi="Arial" w:cs="Arial"/>
                <w:color w:val="000000"/>
                <w:sz w:val="20"/>
                <w:szCs w:val="20"/>
              </w:rPr>
              <w:t> </w:t>
            </w:r>
          </w:p>
        </w:tc>
        <w:tc>
          <w:tcPr>
            <w:tcW w:w="1642" w:type="dxa"/>
            <w:tcBorders>
              <w:top w:val="nil"/>
              <w:left w:val="nil"/>
              <w:bottom w:val="nil"/>
              <w:right w:val="single" w:sz="8" w:space="0" w:color="auto"/>
            </w:tcBorders>
            <w:shd w:val="clear" w:color="auto" w:fill="auto"/>
            <w:vAlign w:val="bottom"/>
            <w:hideMark/>
          </w:tcPr>
          <w:p w:rsidR="00C642E4" w:rsidRDefault="00C642E4">
            <w:pPr>
              <w:jc w:val="center"/>
              <w:rPr>
                <w:rFonts w:ascii="Arial" w:hAnsi="Arial" w:cs="Arial"/>
                <w:b/>
                <w:bCs/>
                <w:color w:val="000000"/>
                <w:sz w:val="20"/>
                <w:szCs w:val="20"/>
                <w:u w:val="single"/>
              </w:rPr>
            </w:pPr>
            <w:r>
              <w:rPr>
                <w:rFonts w:ascii="Arial" w:hAnsi="Arial" w:cs="Arial"/>
                <w:b/>
                <w:bCs/>
                <w:color w:val="000000"/>
                <w:sz w:val="20"/>
                <w:szCs w:val="20"/>
                <w:u w:val="single"/>
              </w:rPr>
              <w:t>31/12/2018</w:t>
            </w:r>
          </w:p>
        </w:tc>
        <w:tc>
          <w:tcPr>
            <w:tcW w:w="1097" w:type="dxa"/>
            <w:tcBorders>
              <w:top w:val="nil"/>
              <w:left w:val="nil"/>
              <w:bottom w:val="nil"/>
              <w:right w:val="nil"/>
            </w:tcBorders>
            <w:shd w:val="clear" w:color="auto" w:fill="auto"/>
            <w:noWrap/>
            <w:vAlign w:val="bottom"/>
            <w:hideMark/>
          </w:tcPr>
          <w:p w:rsidR="00C642E4" w:rsidRDefault="00C642E4">
            <w:pPr>
              <w:jc w:val="center"/>
              <w:rPr>
                <w:rFonts w:ascii="Arial" w:hAnsi="Arial" w:cs="Arial"/>
                <w:b/>
                <w:bCs/>
                <w:color w:val="000000"/>
                <w:sz w:val="20"/>
                <w:szCs w:val="20"/>
              </w:rPr>
            </w:pPr>
            <w:r>
              <w:rPr>
                <w:rFonts w:ascii="Arial" w:hAnsi="Arial" w:cs="Arial"/>
                <w:b/>
                <w:bCs/>
                <w:color w:val="000000"/>
                <w:sz w:val="20"/>
                <w:szCs w:val="20"/>
              </w:rPr>
              <w:t>%</w:t>
            </w:r>
          </w:p>
        </w:tc>
        <w:tc>
          <w:tcPr>
            <w:tcW w:w="1654" w:type="dxa"/>
            <w:tcBorders>
              <w:top w:val="nil"/>
              <w:left w:val="nil"/>
              <w:bottom w:val="nil"/>
              <w:right w:val="single" w:sz="8" w:space="0" w:color="auto"/>
            </w:tcBorders>
            <w:shd w:val="clear" w:color="auto" w:fill="auto"/>
            <w:vAlign w:val="bottom"/>
            <w:hideMark/>
          </w:tcPr>
          <w:p w:rsidR="00C642E4" w:rsidRDefault="00C642E4">
            <w:pPr>
              <w:jc w:val="center"/>
              <w:rPr>
                <w:rFonts w:ascii="Arial" w:hAnsi="Arial" w:cs="Arial"/>
                <w:b/>
                <w:bCs/>
                <w:color w:val="000000"/>
                <w:sz w:val="20"/>
                <w:szCs w:val="20"/>
                <w:u w:val="single"/>
              </w:rPr>
            </w:pPr>
            <w:r>
              <w:rPr>
                <w:rFonts w:ascii="Arial" w:hAnsi="Arial" w:cs="Arial"/>
                <w:b/>
                <w:bCs/>
                <w:color w:val="000000"/>
                <w:sz w:val="20"/>
                <w:szCs w:val="20"/>
                <w:u w:val="single"/>
              </w:rPr>
              <w:t>31/12/2017</w:t>
            </w:r>
          </w:p>
        </w:tc>
        <w:tc>
          <w:tcPr>
            <w:tcW w:w="1097" w:type="dxa"/>
            <w:tcBorders>
              <w:top w:val="nil"/>
              <w:left w:val="nil"/>
              <w:bottom w:val="nil"/>
              <w:right w:val="nil"/>
            </w:tcBorders>
            <w:shd w:val="clear" w:color="auto" w:fill="auto"/>
            <w:noWrap/>
            <w:vAlign w:val="bottom"/>
            <w:hideMark/>
          </w:tcPr>
          <w:p w:rsidR="00C642E4" w:rsidRDefault="00C642E4">
            <w:pPr>
              <w:jc w:val="center"/>
              <w:rPr>
                <w:rFonts w:ascii="Arial" w:hAnsi="Arial" w:cs="Arial"/>
                <w:b/>
                <w:bCs/>
                <w:color w:val="000000"/>
                <w:sz w:val="20"/>
                <w:szCs w:val="20"/>
              </w:rPr>
            </w:pPr>
            <w:r>
              <w:rPr>
                <w:rFonts w:ascii="Arial" w:hAnsi="Arial" w:cs="Arial"/>
                <w:b/>
                <w:bCs/>
                <w:color w:val="000000"/>
                <w:sz w:val="20"/>
                <w:szCs w:val="20"/>
              </w:rPr>
              <w:t>%</w:t>
            </w:r>
          </w:p>
        </w:tc>
      </w:tr>
      <w:tr w:rsidR="00C642E4" w:rsidTr="00C642E4">
        <w:trPr>
          <w:trHeight w:val="315"/>
        </w:trPr>
        <w:tc>
          <w:tcPr>
            <w:tcW w:w="3790"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Κυκλοφορούν ενεργητικό</w:t>
            </w:r>
          </w:p>
        </w:tc>
        <w:tc>
          <w:tcPr>
            <w:tcW w:w="1642"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325.553,93</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51,50%</w:t>
            </w:r>
          </w:p>
        </w:tc>
        <w:tc>
          <w:tcPr>
            <w:tcW w:w="1654"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296.982,94</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47,21%</w:t>
            </w: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Σύνολο ενεργητικού</w:t>
            </w:r>
          </w:p>
        </w:tc>
        <w:tc>
          <w:tcPr>
            <w:tcW w:w="1642"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632.099,39</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54"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629.024,78</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315"/>
        </w:trPr>
        <w:tc>
          <w:tcPr>
            <w:tcW w:w="3790"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Μη κυκλοφορούν ενεργητικό</w:t>
            </w:r>
          </w:p>
        </w:tc>
        <w:tc>
          <w:tcPr>
            <w:tcW w:w="1642"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306.545,46</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48,50%</w:t>
            </w:r>
          </w:p>
        </w:tc>
        <w:tc>
          <w:tcPr>
            <w:tcW w:w="1654"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332.041,84</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52,79%</w:t>
            </w: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Σύνολο ενεργητικού</w:t>
            </w:r>
          </w:p>
        </w:tc>
        <w:tc>
          <w:tcPr>
            <w:tcW w:w="1642"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632.099,39</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54"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629.024,78</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855"/>
        </w:trPr>
        <w:tc>
          <w:tcPr>
            <w:tcW w:w="9280"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Οι παραπάνω δείκτες δείχνουν την αναλογία κεφαλαίων που έχει διατεθεί σε κυκλοφοριακό και πάγιο ενεργητικό.</w:t>
            </w: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both"/>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jc w:val="right"/>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jc w:val="right"/>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jc w:val="right"/>
              <w:rPr>
                <w:sz w:val="20"/>
                <w:szCs w:val="20"/>
              </w:rPr>
            </w:pPr>
          </w:p>
        </w:tc>
      </w:tr>
      <w:tr w:rsidR="00C642E4" w:rsidTr="00C642E4">
        <w:trPr>
          <w:trHeight w:val="315"/>
        </w:trPr>
        <w:tc>
          <w:tcPr>
            <w:tcW w:w="3790"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Καθαρή θέση</w:t>
            </w:r>
          </w:p>
        </w:tc>
        <w:tc>
          <w:tcPr>
            <w:tcW w:w="1642"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339.576,83</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159,61%</w:t>
            </w:r>
          </w:p>
        </w:tc>
        <w:tc>
          <w:tcPr>
            <w:tcW w:w="1654"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326.378,08</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146,44%</w:t>
            </w: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Σύνολο υποχρεώσεων</w:t>
            </w:r>
          </w:p>
        </w:tc>
        <w:tc>
          <w:tcPr>
            <w:tcW w:w="1642"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212.747,82</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54"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222.871,96</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300"/>
        </w:trPr>
        <w:tc>
          <w:tcPr>
            <w:tcW w:w="9280"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 παραπάνω δείκτης  δείχνει την οικονομική αυτάρκεια της εταιρείας</w:t>
            </w: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both"/>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315"/>
        </w:trPr>
        <w:tc>
          <w:tcPr>
            <w:tcW w:w="3790"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Σύνολο υποχρεώσεων</w:t>
            </w:r>
          </w:p>
        </w:tc>
        <w:tc>
          <w:tcPr>
            <w:tcW w:w="1642"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212.747,82</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33,66%</w:t>
            </w:r>
          </w:p>
        </w:tc>
        <w:tc>
          <w:tcPr>
            <w:tcW w:w="1654"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222.871,96</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35,43%</w:t>
            </w: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Σύνολο παθητικού</w:t>
            </w:r>
          </w:p>
        </w:tc>
        <w:tc>
          <w:tcPr>
            <w:tcW w:w="1642"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632.099,39</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54"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629.024,78</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315"/>
        </w:trPr>
        <w:tc>
          <w:tcPr>
            <w:tcW w:w="3790"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Καθαρή θέση</w:t>
            </w:r>
          </w:p>
        </w:tc>
        <w:tc>
          <w:tcPr>
            <w:tcW w:w="1642"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339.576,83</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53,72%</w:t>
            </w:r>
          </w:p>
        </w:tc>
        <w:tc>
          <w:tcPr>
            <w:tcW w:w="1654"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326.378,08</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51,89%</w:t>
            </w: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Σύνολο παθητικού</w:t>
            </w:r>
          </w:p>
        </w:tc>
        <w:tc>
          <w:tcPr>
            <w:tcW w:w="1642"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632.099,39</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54"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629.024,78</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720"/>
        </w:trPr>
        <w:tc>
          <w:tcPr>
            <w:tcW w:w="9280"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Οι παραπάνω δείκτες  δείχνουν την δανειακή εξάρτηση της εταιρείας</w:t>
            </w: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both"/>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315"/>
        </w:trPr>
        <w:tc>
          <w:tcPr>
            <w:tcW w:w="3790"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Καθαρή θέση</w:t>
            </w:r>
          </w:p>
        </w:tc>
        <w:tc>
          <w:tcPr>
            <w:tcW w:w="1642"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339.576,83</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110,78%</w:t>
            </w:r>
          </w:p>
        </w:tc>
        <w:tc>
          <w:tcPr>
            <w:tcW w:w="1654"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326.378,08</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98,29%</w:t>
            </w: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Μη κυκλοφορούν ενεργητικό</w:t>
            </w:r>
          </w:p>
        </w:tc>
        <w:tc>
          <w:tcPr>
            <w:tcW w:w="1642"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306.545,46</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54"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332.041,84</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945"/>
        </w:trPr>
        <w:tc>
          <w:tcPr>
            <w:tcW w:w="9280"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 δείκτης αυτός δείχνει το βαθμό χρηματοδοτήσεως των ακινητοποιήσεων της εταιρείας από τα Ίδια Κεφάλαια.</w:t>
            </w: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both"/>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315"/>
        </w:trPr>
        <w:tc>
          <w:tcPr>
            <w:tcW w:w="3790"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Κυκλοφορούν ενεργητικό</w:t>
            </w:r>
          </w:p>
        </w:tc>
        <w:tc>
          <w:tcPr>
            <w:tcW w:w="1642"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325.553,93</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153,02%</w:t>
            </w:r>
          </w:p>
        </w:tc>
        <w:tc>
          <w:tcPr>
            <w:tcW w:w="1654"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296.982,94</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133,25%</w:t>
            </w: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Βραχυπρόθεσμες υποχρεώσεις</w:t>
            </w:r>
          </w:p>
        </w:tc>
        <w:tc>
          <w:tcPr>
            <w:tcW w:w="1642"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212.747,82</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54"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222.871,96</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930"/>
        </w:trPr>
        <w:tc>
          <w:tcPr>
            <w:tcW w:w="9280"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 δείκτης αυτός  δείχνει την δυνατότητα της Εταιρείας να καλύψει τις βραχυπρόθεσμες υποχρεώσεις της με στοιχεία του κυκλοφορούντος ενεργητικού.</w:t>
            </w: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both"/>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315"/>
        </w:trPr>
        <w:tc>
          <w:tcPr>
            <w:tcW w:w="3790"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Κεφάλαιο κινήσεως</w:t>
            </w:r>
          </w:p>
        </w:tc>
        <w:tc>
          <w:tcPr>
            <w:tcW w:w="1642"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112.806,11</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34,65%</w:t>
            </w:r>
          </w:p>
        </w:tc>
        <w:tc>
          <w:tcPr>
            <w:tcW w:w="1654"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74.110,98</w:t>
            </w:r>
          </w:p>
        </w:tc>
        <w:tc>
          <w:tcPr>
            <w:tcW w:w="109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24,95%</w:t>
            </w:r>
          </w:p>
        </w:tc>
      </w:tr>
      <w:tr w:rsidR="00C642E4" w:rsidTr="00C642E4">
        <w:trPr>
          <w:trHeight w:val="300"/>
        </w:trPr>
        <w:tc>
          <w:tcPr>
            <w:tcW w:w="3790"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Κυκλοφορούν ενεργητικό</w:t>
            </w:r>
          </w:p>
        </w:tc>
        <w:tc>
          <w:tcPr>
            <w:tcW w:w="1642"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325.553,93</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54"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296.982,94</w:t>
            </w:r>
          </w:p>
        </w:tc>
        <w:tc>
          <w:tcPr>
            <w:tcW w:w="109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00"/>
        </w:trPr>
        <w:tc>
          <w:tcPr>
            <w:tcW w:w="3790"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42"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c>
          <w:tcPr>
            <w:tcW w:w="1654" w:type="dxa"/>
            <w:tcBorders>
              <w:top w:val="nil"/>
              <w:left w:val="nil"/>
              <w:bottom w:val="nil"/>
              <w:right w:val="nil"/>
            </w:tcBorders>
            <w:shd w:val="clear" w:color="auto" w:fill="auto"/>
            <w:noWrap/>
            <w:vAlign w:val="bottom"/>
            <w:hideMark/>
          </w:tcPr>
          <w:p w:rsidR="00C642E4" w:rsidRDefault="00C642E4">
            <w:pPr>
              <w:rPr>
                <w:sz w:val="20"/>
                <w:szCs w:val="20"/>
              </w:rPr>
            </w:pPr>
          </w:p>
        </w:tc>
        <w:tc>
          <w:tcPr>
            <w:tcW w:w="1097" w:type="dxa"/>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960"/>
        </w:trPr>
        <w:tc>
          <w:tcPr>
            <w:tcW w:w="9280"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lastRenderedPageBreak/>
              <w:t>Ο αριθμοδείκτης αυτός απεικονίζει σε ποσοστό το τμήμα του Κυκλοφορούντος ενεργητικού το οποίο χρηματοδοτείται από το πλεόνασμα των διαρκών κεφαλαίων (Ιδίων Κεφαλαίων και Μακροπρόθεσμων υποχρεώσεων).</w:t>
            </w:r>
          </w:p>
        </w:tc>
      </w:tr>
    </w:tbl>
    <w:p w:rsidR="00525943" w:rsidRDefault="00525943" w:rsidP="007E484A">
      <w:pPr>
        <w:spacing w:line="360" w:lineRule="auto"/>
        <w:ind w:firstLine="720"/>
        <w:jc w:val="both"/>
      </w:pPr>
    </w:p>
    <w:tbl>
      <w:tblPr>
        <w:tblW w:w="9281" w:type="dxa"/>
        <w:tblInd w:w="108" w:type="dxa"/>
        <w:tblLook w:val="04A0" w:firstRow="1" w:lastRow="0" w:firstColumn="1" w:lastColumn="0" w:noHBand="0" w:noVBand="1"/>
      </w:tblPr>
      <w:tblGrid>
        <w:gridCol w:w="4095"/>
        <w:gridCol w:w="1617"/>
        <w:gridCol w:w="963"/>
        <w:gridCol w:w="1628"/>
        <w:gridCol w:w="1067"/>
      </w:tblGrid>
      <w:tr w:rsidR="00C642E4" w:rsidTr="00C642E4">
        <w:trPr>
          <w:trHeight w:val="315"/>
        </w:trPr>
        <w:tc>
          <w:tcPr>
            <w:tcW w:w="9281" w:type="dxa"/>
            <w:gridSpan w:val="5"/>
            <w:tcBorders>
              <w:top w:val="nil"/>
              <w:left w:val="nil"/>
              <w:bottom w:val="nil"/>
              <w:right w:val="nil"/>
            </w:tcBorders>
            <w:shd w:val="clear" w:color="auto" w:fill="auto"/>
            <w:noWrap/>
            <w:vAlign w:val="bottom"/>
            <w:hideMark/>
          </w:tcPr>
          <w:p w:rsidR="00C642E4" w:rsidRDefault="00C642E4">
            <w:pPr>
              <w:jc w:val="center"/>
              <w:rPr>
                <w:rFonts w:ascii="Arial" w:hAnsi="Arial" w:cs="Arial"/>
                <w:b/>
                <w:bCs/>
                <w:color w:val="000000"/>
              </w:rPr>
            </w:pPr>
            <w:r>
              <w:rPr>
                <w:rFonts w:ascii="Arial" w:hAnsi="Arial" w:cs="Arial"/>
                <w:b/>
                <w:bCs/>
                <w:color w:val="000000"/>
              </w:rPr>
              <w:t>Αριθμοδείκτες αποδόσεως και αποδοτικότητας</w:t>
            </w:r>
          </w:p>
        </w:tc>
      </w:tr>
      <w:tr w:rsidR="00C642E4" w:rsidTr="00C642E4">
        <w:trPr>
          <w:trHeight w:val="315"/>
        </w:trPr>
        <w:tc>
          <w:tcPr>
            <w:tcW w:w="4095" w:type="dxa"/>
            <w:tcBorders>
              <w:top w:val="nil"/>
              <w:left w:val="nil"/>
              <w:bottom w:val="nil"/>
              <w:right w:val="nil"/>
            </w:tcBorders>
            <w:shd w:val="clear" w:color="auto" w:fill="auto"/>
            <w:noWrap/>
            <w:vAlign w:val="bottom"/>
            <w:hideMark/>
          </w:tcPr>
          <w:p w:rsidR="00C642E4" w:rsidRDefault="00C642E4">
            <w:pPr>
              <w:jc w:val="center"/>
              <w:rPr>
                <w:rFonts w:ascii="Arial" w:hAnsi="Arial" w:cs="Arial"/>
                <w:b/>
                <w:bCs/>
                <w:color w:val="000000"/>
              </w:rPr>
            </w:pPr>
          </w:p>
        </w:tc>
        <w:tc>
          <w:tcPr>
            <w:tcW w:w="1617" w:type="dxa"/>
            <w:tcBorders>
              <w:top w:val="nil"/>
              <w:left w:val="nil"/>
              <w:bottom w:val="nil"/>
              <w:right w:val="nil"/>
            </w:tcBorders>
            <w:shd w:val="clear" w:color="auto" w:fill="auto"/>
            <w:noWrap/>
            <w:vAlign w:val="bottom"/>
            <w:hideMark/>
          </w:tcPr>
          <w:p w:rsidR="00C642E4" w:rsidRDefault="00C642E4">
            <w:pPr>
              <w:jc w:val="center"/>
              <w:rPr>
                <w:sz w:val="20"/>
                <w:szCs w:val="20"/>
              </w:rPr>
            </w:pPr>
          </w:p>
        </w:tc>
        <w:tc>
          <w:tcPr>
            <w:tcW w:w="874" w:type="dxa"/>
            <w:tcBorders>
              <w:top w:val="nil"/>
              <w:left w:val="nil"/>
              <w:bottom w:val="nil"/>
              <w:right w:val="nil"/>
            </w:tcBorders>
            <w:shd w:val="clear" w:color="auto" w:fill="auto"/>
            <w:noWrap/>
            <w:vAlign w:val="bottom"/>
            <w:hideMark/>
          </w:tcPr>
          <w:p w:rsidR="00C642E4" w:rsidRDefault="00C642E4">
            <w:pPr>
              <w:jc w:val="center"/>
              <w:rPr>
                <w:sz w:val="20"/>
                <w:szCs w:val="20"/>
              </w:rPr>
            </w:pPr>
          </w:p>
        </w:tc>
        <w:tc>
          <w:tcPr>
            <w:tcW w:w="1628" w:type="dxa"/>
            <w:tcBorders>
              <w:top w:val="nil"/>
              <w:left w:val="nil"/>
              <w:bottom w:val="nil"/>
              <w:right w:val="nil"/>
            </w:tcBorders>
            <w:shd w:val="clear" w:color="auto" w:fill="auto"/>
            <w:noWrap/>
            <w:vAlign w:val="bottom"/>
            <w:hideMark/>
          </w:tcPr>
          <w:p w:rsidR="00C642E4" w:rsidRDefault="00C642E4">
            <w:pPr>
              <w:jc w:val="center"/>
              <w:rPr>
                <w:sz w:val="20"/>
                <w:szCs w:val="20"/>
              </w:rPr>
            </w:pPr>
          </w:p>
        </w:tc>
        <w:tc>
          <w:tcPr>
            <w:tcW w:w="1067" w:type="dxa"/>
            <w:tcBorders>
              <w:top w:val="nil"/>
              <w:left w:val="nil"/>
              <w:bottom w:val="nil"/>
              <w:right w:val="nil"/>
            </w:tcBorders>
            <w:shd w:val="clear" w:color="auto" w:fill="auto"/>
            <w:noWrap/>
            <w:vAlign w:val="bottom"/>
            <w:hideMark/>
          </w:tcPr>
          <w:p w:rsidR="00C642E4" w:rsidRDefault="00C642E4">
            <w:pPr>
              <w:jc w:val="center"/>
              <w:rPr>
                <w:sz w:val="20"/>
                <w:szCs w:val="20"/>
              </w:rPr>
            </w:pPr>
          </w:p>
        </w:tc>
      </w:tr>
      <w:tr w:rsidR="00C642E4" w:rsidTr="00C642E4">
        <w:trPr>
          <w:trHeight w:val="315"/>
        </w:trPr>
        <w:tc>
          <w:tcPr>
            <w:tcW w:w="4095" w:type="dxa"/>
            <w:tcBorders>
              <w:top w:val="nil"/>
              <w:left w:val="nil"/>
              <w:bottom w:val="nil"/>
              <w:right w:val="nil"/>
            </w:tcBorders>
            <w:shd w:val="clear" w:color="auto" w:fill="auto"/>
            <w:noWrap/>
            <w:vAlign w:val="bottom"/>
            <w:hideMark/>
          </w:tcPr>
          <w:p w:rsidR="00C642E4" w:rsidRDefault="00C642E4">
            <w:pPr>
              <w:jc w:val="center"/>
              <w:rPr>
                <w:sz w:val="20"/>
                <w:szCs w:val="20"/>
              </w:rPr>
            </w:pPr>
          </w:p>
        </w:tc>
        <w:tc>
          <w:tcPr>
            <w:tcW w:w="1617" w:type="dxa"/>
            <w:tcBorders>
              <w:top w:val="nil"/>
              <w:left w:val="nil"/>
              <w:bottom w:val="nil"/>
              <w:right w:val="single" w:sz="8" w:space="0" w:color="auto"/>
            </w:tcBorders>
            <w:shd w:val="clear" w:color="auto" w:fill="auto"/>
            <w:vAlign w:val="bottom"/>
            <w:hideMark/>
          </w:tcPr>
          <w:p w:rsidR="00C642E4" w:rsidRDefault="00C642E4">
            <w:pPr>
              <w:jc w:val="center"/>
              <w:rPr>
                <w:rFonts w:ascii="Arial" w:hAnsi="Arial" w:cs="Arial"/>
                <w:b/>
                <w:bCs/>
                <w:color w:val="000000"/>
                <w:sz w:val="20"/>
                <w:szCs w:val="20"/>
                <w:u w:val="single"/>
              </w:rPr>
            </w:pPr>
            <w:r>
              <w:rPr>
                <w:rFonts w:ascii="Arial" w:hAnsi="Arial" w:cs="Arial"/>
                <w:b/>
                <w:bCs/>
                <w:color w:val="000000"/>
                <w:sz w:val="20"/>
                <w:szCs w:val="20"/>
                <w:u w:val="single"/>
              </w:rPr>
              <w:t>31/12/2018</w:t>
            </w:r>
          </w:p>
        </w:tc>
        <w:tc>
          <w:tcPr>
            <w:tcW w:w="874" w:type="dxa"/>
            <w:tcBorders>
              <w:top w:val="nil"/>
              <w:left w:val="nil"/>
              <w:bottom w:val="nil"/>
              <w:right w:val="nil"/>
            </w:tcBorders>
            <w:shd w:val="clear" w:color="auto" w:fill="auto"/>
            <w:noWrap/>
            <w:vAlign w:val="bottom"/>
            <w:hideMark/>
          </w:tcPr>
          <w:p w:rsidR="00C642E4" w:rsidRDefault="00C642E4">
            <w:pPr>
              <w:jc w:val="center"/>
              <w:rPr>
                <w:rFonts w:ascii="Arial" w:hAnsi="Arial" w:cs="Arial"/>
                <w:b/>
                <w:bCs/>
                <w:color w:val="000000"/>
                <w:sz w:val="20"/>
                <w:szCs w:val="20"/>
              </w:rPr>
            </w:pPr>
            <w:r>
              <w:rPr>
                <w:rFonts w:ascii="Arial" w:hAnsi="Arial" w:cs="Arial"/>
                <w:b/>
                <w:bCs/>
                <w:color w:val="000000"/>
                <w:sz w:val="20"/>
                <w:szCs w:val="20"/>
              </w:rPr>
              <w:t>%</w:t>
            </w:r>
          </w:p>
        </w:tc>
        <w:tc>
          <w:tcPr>
            <w:tcW w:w="1628" w:type="dxa"/>
            <w:tcBorders>
              <w:top w:val="nil"/>
              <w:left w:val="nil"/>
              <w:bottom w:val="nil"/>
              <w:right w:val="single" w:sz="8" w:space="0" w:color="auto"/>
            </w:tcBorders>
            <w:shd w:val="clear" w:color="auto" w:fill="auto"/>
            <w:vAlign w:val="bottom"/>
            <w:hideMark/>
          </w:tcPr>
          <w:p w:rsidR="00C642E4" w:rsidRDefault="00C642E4">
            <w:pPr>
              <w:jc w:val="center"/>
              <w:rPr>
                <w:rFonts w:ascii="Arial" w:hAnsi="Arial" w:cs="Arial"/>
                <w:b/>
                <w:bCs/>
                <w:color w:val="000000"/>
                <w:sz w:val="20"/>
                <w:szCs w:val="20"/>
                <w:u w:val="single"/>
              </w:rPr>
            </w:pPr>
            <w:r>
              <w:rPr>
                <w:rFonts w:ascii="Arial" w:hAnsi="Arial" w:cs="Arial"/>
                <w:b/>
                <w:bCs/>
                <w:color w:val="000000"/>
                <w:sz w:val="20"/>
                <w:szCs w:val="20"/>
                <w:u w:val="single"/>
              </w:rPr>
              <w:t>31/12/2017</w:t>
            </w:r>
          </w:p>
        </w:tc>
        <w:tc>
          <w:tcPr>
            <w:tcW w:w="1067" w:type="dxa"/>
            <w:tcBorders>
              <w:top w:val="nil"/>
              <w:left w:val="nil"/>
              <w:bottom w:val="nil"/>
              <w:right w:val="nil"/>
            </w:tcBorders>
            <w:shd w:val="clear" w:color="auto" w:fill="auto"/>
            <w:vAlign w:val="bottom"/>
            <w:hideMark/>
          </w:tcPr>
          <w:p w:rsidR="00C642E4" w:rsidRDefault="00C642E4">
            <w:pPr>
              <w:jc w:val="center"/>
              <w:rPr>
                <w:rFonts w:ascii="Arial" w:hAnsi="Arial" w:cs="Arial"/>
                <w:b/>
                <w:bCs/>
                <w:color w:val="000000"/>
                <w:sz w:val="20"/>
                <w:szCs w:val="20"/>
                <w:u w:val="single"/>
              </w:rPr>
            </w:pPr>
          </w:p>
        </w:tc>
      </w:tr>
      <w:tr w:rsidR="00C642E4" w:rsidTr="00C642E4">
        <w:trPr>
          <w:trHeight w:val="315"/>
        </w:trPr>
        <w:tc>
          <w:tcPr>
            <w:tcW w:w="4095"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Αποτέλεσμα προ τόκων και φόρων</w:t>
            </w:r>
          </w:p>
        </w:tc>
        <w:tc>
          <w:tcPr>
            <w:tcW w:w="1617"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21.311,28</w:t>
            </w:r>
          </w:p>
        </w:tc>
        <w:tc>
          <w:tcPr>
            <w:tcW w:w="874"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1,92%</w:t>
            </w:r>
          </w:p>
        </w:tc>
        <w:tc>
          <w:tcPr>
            <w:tcW w:w="1628"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74.240,22</w:t>
            </w:r>
          </w:p>
        </w:tc>
        <w:tc>
          <w:tcPr>
            <w:tcW w:w="106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6,00%</w:t>
            </w:r>
          </w:p>
        </w:tc>
      </w:tr>
      <w:tr w:rsidR="00C642E4" w:rsidTr="00C642E4">
        <w:trPr>
          <w:trHeight w:val="300"/>
        </w:trPr>
        <w:tc>
          <w:tcPr>
            <w:tcW w:w="4095"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Πωλήσεις αποθεμάτων &amp; υπηρεσιών</w:t>
            </w:r>
          </w:p>
        </w:tc>
        <w:tc>
          <w:tcPr>
            <w:tcW w:w="1617"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1.112.406,13</w:t>
            </w:r>
          </w:p>
        </w:tc>
        <w:tc>
          <w:tcPr>
            <w:tcW w:w="874"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28"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1.237.610,60</w:t>
            </w:r>
          </w:p>
        </w:tc>
        <w:tc>
          <w:tcPr>
            <w:tcW w:w="106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15"/>
        </w:trPr>
        <w:tc>
          <w:tcPr>
            <w:tcW w:w="4095"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17" w:type="dxa"/>
            <w:tcBorders>
              <w:top w:val="nil"/>
              <w:left w:val="nil"/>
              <w:bottom w:val="nil"/>
              <w:right w:val="nil"/>
            </w:tcBorders>
            <w:shd w:val="clear" w:color="auto" w:fill="auto"/>
            <w:noWrap/>
            <w:vAlign w:val="bottom"/>
            <w:hideMark/>
          </w:tcPr>
          <w:p w:rsidR="00C642E4" w:rsidRDefault="00C642E4">
            <w:pPr>
              <w:rPr>
                <w:sz w:val="20"/>
                <w:szCs w:val="20"/>
              </w:rPr>
            </w:pPr>
          </w:p>
        </w:tc>
        <w:tc>
          <w:tcPr>
            <w:tcW w:w="874" w:type="dxa"/>
            <w:tcBorders>
              <w:top w:val="nil"/>
              <w:left w:val="nil"/>
              <w:bottom w:val="nil"/>
              <w:right w:val="nil"/>
            </w:tcBorders>
            <w:shd w:val="clear" w:color="auto" w:fill="auto"/>
            <w:noWrap/>
            <w:vAlign w:val="bottom"/>
            <w:hideMark/>
          </w:tcPr>
          <w:p w:rsidR="00C642E4" w:rsidRDefault="00C642E4">
            <w:pPr>
              <w:rPr>
                <w:sz w:val="20"/>
                <w:szCs w:val="20"/>
              </w:rPr>
            </w:pPr>
          </w:p>
        </w:tc>
        <w:tc>
          <w:tcPr>
            <w:tcW w:w="1628" w:type="dxa"/>
            <w:tcBorders>
              <w:top w:val="nil"/>
              <w:left w:val="nil"/>
              <w:bottom w:val="nil"/>
              <w:right w:val="nil"/>
            </w:tcBorders>
            <w:shd w:val="clear" w:color="auto" w:fill="auto"/>
            <w:noWrap/>
            <w:vAlign w:val="bottom"/>
            <w:hideMark/>
          </w:tcPr>
          <w:p w:rsidR="00C642E4" w:rsidRDefault="00C642E4">
            <w:pPr>
              <w:rPr>
                <w:sz w:val="20"/>
                <w:szCs w:val="20"/>
              </w:rPr>
            </w:pPr>
          </w:p>
        </w:tc>
        <w:tc>
          <w:tcPr>
            <w:tcW w:w="1067" w:type="dxa"/>
            <w:tcBorders>
              <w:top w:val="nil"/>
              <w:left w:val="nil"/>
              <w:bottom w:val="nil"/>
              <w:right w:val="nil"/>
            </w:tcBorders>
            <w:shd w:val="clear" w:color="auto" w:fill="auto"/>
            <w:vAlign w:val="bottom"/>
            <w:hideMark/>
          </w:tcPr>
          <w:p w:rsidR="00C642E4" w:rsidRDefault="00C642E4">
            <w:pPr>
              <w:rPr>
                <w:sz w:val="20"/>
                <w:szCs w:val="20"/>
              </w:rPr>
            </w:pPr>
          </w:p>
        </w:tc>
      </w:tr>
      <w:tr w:rsidR="00C642E4" w:rsidTr="00C642E4">
        <w:trPr>
          <w:trHeight w:val="765"/>
        </w:trPr>
        <w:tc>
          <w:tcPr>
            <w:tcW w:w="9281"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 αριθμοδείκτης αυτός απεικονίζει την απόδοση της εταιρείας χωρίς το συνυπολογισμό των εκτάκτων και ανόργανων αποτελεσμάτων.</w:t>
            </w:r>
          </w:p>
        </w:tc>
      </w:tr>
      <w:tr w:rsidR="00C642E4" w:rsidTr="00C642E4">
        <w:trPr>
          <w:trHeight w:val="315"/>
        </w:trPr>
        <w:tc>
          <w:tcPr>
            <w:tcW w:w="4095" w:type="dxa"/>
            <w:tcBorders>
              <w:top w:val="nil"/>
              <w:left w:val="nil"/>
              <w:bottom w:val="nil"/>
              <w:right w:val="nil"/>
            </w:tcBorders>
            <w:shd w:val="clear" w:color="auto" w:fill="auto"/>
            <w:noWrap/>
            <w:vAlign w:val="bottom"/>
            <w:hideMark/>
          </w:tcPr>
          <w:p w:rsidR="00C642E4" w:rsidRDefault="00C642E4">
            <w:pPr>
              <w:jc w:val="both"/>
              <w:rPr>
                <w:rFonts w:ascii="Arial" w:hAnsi="Arial" w:cs="Arial"/>
                <w:color w:val="000000"/>
                <w:sz w:val="22"/>
                <w:szCs w:val="22"/>
              </w:rPr>
            </w:pPr>
          </w:p>
        </w:tc>
        <w:tc>
          <w:tcPr>
            <w:tcW w:w="1617" w:type="dxa"/>
            <w:tcBorders>
              <w:top w:val="nil"/>
              <w:left w:val="nil"/>
              <w:bottom w:val="nil"/>
              <w:right w:val="nil"/>
            </w:tcBorders>
            <w:shd w:val="clear" w:color="auto" w:fill="auto"/>
            <w:noWrap/>
            <w:vAlign w:val="bottom"/>
            <w:hideMark/>
          </w:tcPr>
          <w:p w:rsidR="00C642E4" w:rsidRDefault="00C642E4">
            <w:pPr>
              <w:rPr>
                <w:sz w:val="20"/>
                <w:szCs w:val="20"/>
              </w:rPr>
            </w:pPr>
          </w:p>
        </w:tc>
        <w:tc>
          <w:tcPr>
            <w:tcW w:w="874" w:type="dxa"/>
            <w:tcBorders>
              <w:top w:val="nil"/>
              <w:left w:val="nil"/>
              <w:bottom w:val="nil"/>
              <w:right w:val="nil"/>
            </w:tcBorders>
            <w:shd w:val="clear" w:color="auto" w:fill="auto"/>
            <w:noWrap/>
            <w:vAlign w:val="bottom"/>
            <w:hideMark/>
          </w:tcPr>
          <w:p w:rsidR="00C642E4" w:rsidRDefault="00C642E4">
            <w:pPr>
              <w:rPr>
                <w:sz w:val="20"/>
                <w:szCs w:val="20"/>
              </w:rPr>
            </w:pPr>
          </w:p>
        </w:tc>
        <w:tc>
          <w:tcPr>
            <w:tcW w:w="1628" w:type="dxa"/>
            <w:tcBorders>
              <w:top w:val="nil"/>
              <w:left w:val="nil"/>
              <w:bottom w:val="nil"/>
              <w:right w:val="nil"/>
            </w:tcBorders>
            <w:shd w:val="clear" w:color="auto" w:fill="auto"/>
            <w:noWrap/>
            <w:vAlign w:val="bottom"/>
            <w:hideMark/>
          </w:tcPr>
          <w:p w:rsidR="00C642E4" w:rsidRDefault="00C642E4">
            <w:pPr>
              <w:rPr>
                <w:sz w:val="20"/>
                <w:szCs w:val="20"/>
              </w:rPr>
            </w:pPr>
          </w:p>
        </w:tc>
        <w:tc>
          <w:tcPr>
            <w:tcW w:w="1067" w:type="dxa"/>
            <w:tcBorders>
              <w:top w:val="nil"/>
              <w:left w:val="nil"/>
              <w:bottom w:val="nil"/>
              <w:right w:val="nil"/>
            </w:tcBorders>
            <w:shd w:val="clear" w:color="auto" w:fill="auto"/>
            <w:vAlign w:val="bottom"/>
            <w:hideMark/>
          </w:tcPr>
          <w:p w:rsidR="00C642E4" w:rsidRDefault="00C642E4">
            <w:pPr>
              <w:rPr>
                <w:sz w:val="20"/>
                <w:szCs w:val="20"/>
              </w:rPr>
            </w:pPr>
          </w:p>
        </w:tc>
      </w:tr>
      <w:tr w:rsidR="00C642E4" w:rsidTr="00C642E4">
        <w:trPr>
          <w:trHeight w:val="315"/>
        </w:trPr>
        <w:tc>
          <w:tcPr>
            <w:tcW w:w="4095"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Αποτελέσματα χρήσεως προ φόρων</w:t>
            </w:r>
          </w:p>
        </w:tc>
        <w:tc>
          <w:tcPr>
            <w:tcW w:w="1617"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18.998,24</w:t>
            </w:r>
          </w:p>
        </w:tc>
        <w:tc>
          <w:tcPr>
            <w:tcW w:w="874"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1,58%</w:t>
            </w:r>
          </w:p>
        </w:tc>
        <w:tc>
          <w:tcPr>
            <w:tcW w:w="1628"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72.834,85</w:t>
            </w:r>
          </w:p>
        </w:tc>
        <w:tc>
          <w:tcPr>
            <w:tcW w:w="106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5,68%</w:t>
            </w:r>
          </w:p>
        </w:tc>
      </w:tr>
      <w:tr w:rsidR="00C642E4" w:rsidTr="00C642E4">
        <w:trPr>
          <w:trHeight w:val="300"/>
        </w:trPr>
        <w:tc>
          <w:tcPr>
            <w:tcW w:w="4095"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Σύνολο εσόδων</w:t>
            </w:r>
          </w:p>
        </w:tc>
        <w:tc>
          <w:tcPr>
            <w:tcW w:w="1617"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1.199.185,35</w:t>
            </w:r>
          </w:p>
        </w:tc>
        <w:tc>
          <w:tcPr>
            <w:tcW w:w="874"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28"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1.282.994,34</w:t>
            </w:r>
          </w:p>
        </w:tc>
        <w:tc>
          <w:tcPr>
            <w:tcW w:w="106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15"/>
        </w:trPr>
        <w:tc>
          <w:tcPr>
            <w:tcW w:w="4095"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17" w:type="dxa"/>
            <w:tcBorders>
              <w:top w:val="nil"/>
              <w:left w:val="nil"/>
              <w:bottom w:val="nil"/>
              <w:right w:val="nil"/>
            </w:tcBorders>
            <w:shd w:val="clear" w:color="auto" w:fill="auto"/>
            <w:noWrap/>
            <w:vAlign w:val="bottom"/>
            <w:hideMark/>
          </w:tcPr>
          <w:p w:rsidR="00C642E4" w:rsidRDefault="00C642E4">
            <w:pPr>
              <w:rPr>
                <w:sz w:val="20"/>
                <w:szCs w:val="20"/>
              </w:rPr>
            </w:pPr>
          </w:p>
        </w:tc>
        <w:tc>
          <w:tcPr>
            <w:tcW w:w="874" w:type="dxa"/>
            <w:tcBorders>
              <w:top w:val="nil"/>
              <w:left w:val="nil"/>
              <w:bottom w:val="nil"/>
              <w:right w:val="nil"/>
            </w:tcBorders>
            <w:shd w:val="clear" w:color="auto" w:fill="auto"/>
            <w:noWrap/>
            <w:vAlign w:val="bottom"/>
            <w:hideMark/>
          </w:tcPr>
          <w:p w:rsidR="00C642E4" w:rsidRDefault="00C642E4">
            <w:pPr>
              <w:rPr>
                <w:sz w:val="20"/>
                <w:szCs w:val="20"/>
              </w:rPr>
            </w:pPr>
          </w:p>
        </w:tc>
        <w:tc>
          <w:tcPr>
            <w:tcW w:w="1628" w:type="dxa"/>
            <w:tcBorders>
              <w:top w:val="nil"/>
              <w:left w:val="nil"/>
              <w:bottom w:val="nil"/>
              <w:right w:val="nil"/>
            </w:tcBorders>
            <w:shd w:val="clear" w:color="auto" w:fill="auto"/>
            <w:noWrap/>
            <w:vAlign w:val="bottom"/>
            <w:hideMark/>
          </w:tcPr>
          <w:p w:rsidR="00C642E4" w:rsidRDefault="00C642E4">
            <w:pPr>
              <w:rPr>
                <w:sz w:val="20"/>
                <w:szCs w:val="20"/>
              </w:rPr>
            </w:pPr>
          </w:p>
        </w:tc>
        <w:tc>
          <w:tcPr>
            <w:tcW w:w="1067" w:type="dxa"/>
            <w:tcBorders>
              <w:top w:val="nil"/>
              <w:left w:val="nil"/>
              <w:bottom w:val="nil"/>
              <w:right w:val="nil"/>
            </w:tcBorders>
            <w:shd w:val="clear" w:color="auto" w:fill="auto"/>
            <w:vAlign w:val="bottom"/>
            <w:hideMark/>
          </w:tcPr>
          <w:p w:rsidR="00C642E4" w:rsidRDefault="00C642E4">
            <w:pPr>
              <w:rPr>
                <w:sz w:val="20"/>
                <w:szCs w:val="20"/>
              </w:rPr>
            </w:pPr>
          </w:p>
        </w:tc>
      </w:tr>
      <w:tr w:rsidR="00C642E4" w:rsidTr="00C642E4">
        <w:trPr>
          <w:trHeight w:val="930"/>
        </w:trPr>
        <w:tc>
          <w:tcPr>
            <w:tcW w:w="9281"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 αριθμοδείκτης αυτός απεικονίζει την συνολική απόδοση της εταιρείας σε σύγκριση με τα συνολικά της έσοδα</w:t>
            </w:r>
          </w:p>
        </w:tc>
      </w:tr>
      <w:tr w:rsidR="00C642E4" w:rsidTr="00C642E4">
        <w:trPr>
          <w:trHeight w:val="315"/>
        </w:trPr>
        <w:tc>
          <w:tcPr>
            <w:tcW w:w="4095" w:type="dxa"/>
            <w:tcBorders>
              <w:top w:val="nil"/>
              <w:left w:val="nil"/>
              <w:bottom w:val="nil"/>
              <w:right w:val="nil"/>
            </w:tcBorders>
            <w:shd w:val="clear" w:color="auto" w:fill="auto"/>
            <w:noWrap/>
            <w:vAlign w:val="bottom"/>
            <w:hideMark/>
          </w:tcPr>
          <w:p w:rsidR="00C642E4" w:rsidRDefault="00C642E4">
            <w:pPr>
              <w:jc w:val="both"/>
              <w:rPr>
                <w:rFonts w:ascii="Arial" w:hAnsi="Arial" w:cs="Arial"/>
                <w:color w:val="000000"/>
                <w:sz w:val="22"/>
                <w:szCs w:val="22"/>
              </w:rPr>
            </w:pPr>
          </w:p>
        </w:tc>
        <w:tc>
          <w:tcPr>
            <w:tcW w:w="1617" w:type="dxa"/>
            <w:tcBorders>
              <w:top w:val="nil"/>
              <w:left w:val="nil"/>
              <w:bottom w:val="nil"/>
              <w:right w:val="nil"/>
            </w:tcBorders>
            <w:shd w:val="clear" w:color="auto" w:fill="auto"/>
            <w:noWrap/>
            <w:vAlign w:val="bottom"/>
            <w:hideMark/>
          </w:tcPr>
          <w:p w:rsidR="00C642E4" w:rsidRDefault="00C642E4">
            <w:pPr>
              <w:rPr>
                <w:sz w:val="20"/>
                <w:szCs w:val="20"/>
              </w:rPr>
            </w:pPr>
          </w:p>
        </w:tc>
        <w:tc>
          <w:tcPr>
            <w:tcW w:w="874" w:type="dxa"/>
            <w:tcBorders>
              <w:top w:val="nil"/>
              <w:left w:val="nil"/>
              <w:bottom w:val="nil"/>
              <w:right w:val="nil"/>
            </w:tcBorders>
            <w:shd w:val="clear" w:color="auto" w:fill="auto"/>
            <w:noWrap/>
            <w:vAlign w:val="bottom"/>
            <w:hideMark/>
          </w:tcPr>
          <w:p w:rsidR="00C642E4" w:rsidRDefault="00C642E4">
            <w:pPr>
              <w:rPr>
                <w:sz w:val="20"/>
                <w:szCs w:val="20"/>
              </w:rPr>
            </w:pPr>
          </w:p>
        </w:tc>
        <w:tc>
          <w:tcPr>
            <w:tcW w:w="1628" w:type="dxa"/>
            <w:tcBorders>
              <w:top w:val="nil"/>
              <w:left w:val="nil"/>
              <w:bottom w:val="nil"/>
              <w:right w:val="nil"/>
            </w:tcBorders>
            <w:shd w:val="clear" w:color="auto" w:fill="auto"/>
            <w:noWrap/>
            <w:vAlign w:val="bottom"/>
            <w:hideMark/>
          </w:tcPr>
          <w:p w:rsidR="00C642E4" w:rsidRDefault="00C642E4">
            <w:pPr>
              <w:rPr>
                <w:sz w:val="20"/>
                <w:szCs w:val="20"/>
              </w:rPr>
            </w:pPr>
          </w:p>
        </w:tc>
        <w:tc>
          <w:tcPr>
            <w:tcW w:w="1067" w:type="dxa"/>
            <w:tcBorders>
              <w:top w:val="nil"/>
              <w:left w:val="nil"/>
              <w:bottom w:val="nil"/>
              <w:right w:val="nil"/>
            </w:tcBorders>
            <w:shd w:val="clear" w:color="auto" w:fill="auto"/>
            <w:vAlign w:val="bottom"/>
            <w:hideMark/>
          </w:tcPr>
          <w:p w:rsidR="00C642E4" w:rsidRDefault="00C642E4">
            <w:pPr>
              <w:rPr>
                <w:sz w:val="20"/>
                <w:szCs w:val="20"/>
              </w:rPr>
            </w:pPr>
          </w:p>
        </w:tc>
      </w:tr>
      <w:tr w:rsidR="00C642E4" w:rsidTr="00C642E4">
        <w:trPr>
          <w:trHeight w:val="315"/>
        </w:trPr>
        <w:tc>
          <w:tcPr>
            <w:tcW w:w="4095"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Αποτελέσματα χρήσεως προ φόρων</w:t>
            </w:r>
          </w:p>
        </w:tc>
        <w:tc>
          <w:tcPr>
            <w:tcW w:w="1617"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18.998,24</w:t>
            </w:r>
          </w:p>
        </w:tc>
        <w:tc>
          <w:tcPr>
            <w:tcW w:w="874"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5,59%</w:t>
            </w:r>
          </w:p>
        </w:tc>
        <w:tc>
          <w:tcPr>
            <w:tcW w:w="1628"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72.834,85</w:t>
            </w:r>
          </w:p>
        </w:tc>
        <w:tc>
          <w:tcPr>
            <w:tcW w:w="106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22,32%</w:t>
            </w:r>
          </w:p>
        </w:tc>
      </w:tr>
      <w:tr w:rsidR="00C642E4" w:rsidTr="00C642E4">
        <w:trPr>
          <w:trHeight w:val="300"/>
        </w:trPr>
        <w:tc>
          <w:tcPr>
            <w:tcW w:w="4095"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Καθαρή θέση</w:t>
            </w:r>
          </w:p>
        </w:tc>
        <w:tc>
          <w:tcPr>
            <w:tcW w:w="1617"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339.576,83</w:t>
            </w:r>
          </w:p>
        </w:tc>
        <w:tc>
          <w:tcPr>
            <w:tcW w:w="874"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28"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326.378,08</w:t>
            </w:r>
          </w:p>
        </w:tc>
        <w:tc>
          <w:tcPr>
            <w:tcW w:w="106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15"/>
        </w:trPr>
        <w:tc>
          <w:tcPr>
            <w:tcW w:w="4095"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17" w:type="dxa"/>
            <w:tcBorders>
              <w:top w:val="nil"/>
              <w:left w:val="nil"/>
              <w:bottom w:val="nil"/>
              <w:right w:val="nil"/>
            </w:tcBorders>
            <w:shd w:val="clear" w:color="auto" w:fill="auto"/>
            <w:noWrap/>
            <w:vAlign w:val="bottom"/>
            <w:hideMark/>
          </w:tcPr>
          <w:p w:rsidR="00C642E4" w:rsidRDefault="00C642E4">
            <w:pPr>
              <w:rPr>
                <w:sz w:val="20"/>
                <w:szCs w:val="20"/>
              </w:rPr>
            </w:pPr>
          </w:p>
        </w:tc>
        <w:tc>
          <w:tcPr>
            <w:tcW w:w="874" w:type="dxa"/>
            <w:tcBorders>
              <w:top w:val="nil"/>
              <w:left w:val="nil"/>
              <w:bottom w:val="nil"/>
              <w:right w:val="nil"/>
            </w:tcBorders>
            <w:shd w:val="clear" w:color="auto" w:fill="auto"/>
            <w:noWrap/>
            <w:vAlign w:val="bottom"/>
            <w:hideMark/>
          </w:tcPr>
          <w:p w:rsidR="00C642E4" w:rsidRDefault="00C642E4">
            <w:pPr>
              <w:rPr>
                <w:sz w:val="20"/>
                <w:szCs w:val="20"/>
              </w:rPr>
            </w:pPr>
          </w:p>
        </w:tc>
        <w:tc>
          <w:tcPr>
            <w:tcW w:w="1628" w:type="dxa"/>
            <w:tcBorders>
              <w:top w:val="nil"/>
              <w:left w:val="nil"/>
              <w:bottom w:val="nil"/>
              <w:right w:val="nil"/>
            </w:tcBorders>
            <w:shd w:val="clear" w:color="auto" w:fill="auto"/>
            <w:noWrap/>
            <w:vAlign w:val="bottom"/>
            <w:hideMark/>
          </w:tcPr>
          <w:p w:rsidR="00C642E4" w:rsidRDefault="00C642E4">
            <w:pPr>
              <w:rPr>
                <w:sz w:val="20"/>
                <w:szCs w:val="20"/>
              </w:rPr>
            </w:pPr>
          </w:p>
        </w:tc>
        <w:tc>
          <w:tcPr>
            <w:tcW w:w="1067" w:type="dxa"/>
            <w:tcBorders>
              <w:top w:val="nil"/>
              <w:left w:val="nil"/>
              <w:bottom w:val="nil"/>
              <w:right w:val="nil"/>
            </w:tcBorders>
            <w:shd w:val="clear" w:color="auto" w:fill="auto"/>
            <w:vAlign w:val="bottom"/>
            <w:hideMark/>
          </w:tcPr>
          <w:p w:rsidR="00C642E4" w:rsidRDefault="00C642E4">
            <w:pPr>
              <w:rPr>
                <w:sz w:val="20"/>
                <w:szCs w:val="20"/>
              </w:rPr>
            </w:pPr>
          </w:p>
        </w:tc>
      </w:tr>
      <w:tr w:rsidR="00C642E4" w:rsidTr="00C642E4">
        <w:trPr>
          <w:trHeight w:val="300"/>
        </w:trPr>
        <w:tc>
          <w:tcPr>
            <w:tcW w:w="9281"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 αριθμοδείκτης αυτός απεικονίζει την αποδοτικότητα των ιδίων κεφαλαίων της εταιρείας.</w:t>
            </w:r>
          </w:p>
        </w:tc>
      </w:tr>
      <w:tr w:rsidR="00C642E4" w:rsidTr="00C642E4">
        <w:trPr>
          <w:trHeight w:val="300"/>
        </w:trPr>
        <w:tc>
          <w:tcPr>
            <w:tcW w:w="4095" w:type="dxa"/>
            <w:tcBorders>
              <w:top w:val="nil"/>
              <w:left w:val="nil"/>
              <w:bottom w:val="nil"/>
              <w:right w:val="nil"/>
            </w:tcBorders>
            <w:shd w:val="clear" w:color="auto" w:fill="auto"/>
            <w:noWrap/>
            <w:vAlign w:val="bottom"/>
            <w:hideMark/>
          </w:tcPr>
          <w:p w:rsidR="00C642E4" w:rsidRDefault="00C642E4">
            <w:pPr>
              <w:jc w:val="both"/>
              <w:rPr>
                <w:rFonts w:ascii="Arial" w:hAnsi="Arial" w:cs="Arial"/>
                <w:color w:val="000000"/>
                <w:sz w:val="22"/>
                <w:szCs w:val="22"/>
              </w:rPr>
            </w:pPr>
          </w:p>
        </w:tc>
        <w:tc>
          <w:tcPr>
            <w:tcW w:w="1617" w:type="dxa"/>
            <w:tcBorders>
              <w:top w:val="nil"/>
              <w:left w:val="nil"/>
              <w:bottom w:val="nil"/>
              <w:right w:val="nil"/>
            </w:tcBorders>
            <w:shd w:val="clear" w:color="auto" w:fill="auto"/>
            <w:noWrap/>
            <w:vAlign w:val="bottom"/>
            <w:hideMark/>
          </w:tcPr>
          <w:p w:rsidR="00C642E4" w:rsidRDefault="00C642E4">
            <w:pPr>
              <w:rPr>
                <w:sz w:val="20"/>
                <w:szCs w:val="20"/>
              </w:rPr>
            </w:pPr>
          </w:p>
        </w:tc>
        <w:tc>
          <w:tcPr>
            <w:tcW w:w="874" w:type="dxa"/>
            <w:tcBorders>
              <w:top w:val="nil"/>
              <w:left w:val="nil"/>
              <w:bottom w:val="nil"/>
              <w:right w:val="nil"/>
            </w:tcBorders>
            <w:shd w:val="clear" w:color="auto" w:fill="auto"/>
            <w:noWrap/>
            <w:vAlign w:val="bottom"/>
            <w:hideMark/>
          </w:tcPr>
          <w:p w:rsidR="00C642E4" w:rsidRDefault="00C642E4">
            <w:pPr>
              <w:rPr>
                <w:sz w:val="20"/>
                <w:szCs w:val="20"/>
              </w:rPr>
            </w:pPr>
          </w:p>
        </w:tc>
        <w:tc>
          <w:tcPr>
            <w:tcW w:w="2695" w:type="dxa"/>
            <w:gridSpan w:val="2"/>
            <w:tcBorders>
              <w:top w:val="nil"/>
              <w:left w:val="nil"/>
              <w:bottom w:val="nil"/>
              <w:right w:val="nil"/>
            </w:tcBorders>
            <w:shd w:val="clear" w:color="auto" w:fill="auto"/>
            <w:noWrap/>
            <w:vAlign w:val="bottom"/>
            <w:hideMark/>
          </w:tcPr>
          <w:p w:rsidR="00C642E4" w:rsidRDefault="00C642E4">
            <w:pPr>
              <w:rPr>
                <w:sz w:val="20"/>
                <w:szCs w:val="20"/>
              </w:rPr>
            </w:pPr>
          </w:p>
        </w:tc>
      </w:tr>
      <w:tr w:rsidR="00C642E4" w:rsidTr="00C642E4">
        <w:trPr>
          <w:trHeight w:val="315"/>
        </w:trPr>
        <w:tc>
          <w:tcPr>
            <w:tcW w:w="4095" w:type="dxa"/>
            <w:tcBorders>
              <w:top w:val="nil"/>
              <w:left w:val="nil"/>
              <w:bottom w:val="single" w:sz="8" w:space="0" w:color="auto"/>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Μικτά αποτελέσματα</w:t>
            </w:r>
          </w:p>
        </w:tc>
        <w:tc>
          <w:tcPr>
            <w:tcW w:w="1617"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433.210,06</w:t>
            </w:r>
          </w:p>
        </w:tc>
        <w:tc>
          <w:tcPr>
            <w:tcW w:w="874"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38,94%</w:t>
            </w:r>
          </w:p>
        </w:tc>
        <w:tc>
          <w:tcPr>
            <w:tcW w:w="1628" w:type="dxa"/>
            <w:tcBorders>
              <w:top w:val="nil"/>
              <w:left w:val="nil"/>
              <w:bottom w:val="single" w:sz="8" w:space="0" w:color="auto"/>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535.289,44</w:t>
            </w:r>
          </w:p>
        </w:tc>
        <w:tc>
          <w:tcPr>
            <w:tcW w:w="1067" w:type="dxa"/>
            <w:vMerge w:val="restart"/>
            <w:tcBorders>
              <w:top w:val="nil"/>
              <w:left w:val="single" w:sz="8" w:space="0" w:color="auto"/>
              <w:bottom w:val="nil"/>
              <w:right w:val="single" w:sz="8" w:space="0" w:color="auto"/>
            </w:tcBorders>
            <w:shd w:val="clear" w:color="auto" w:fill="auto"/>
            <w:noWrap/>
            <w:vAlign w:val="center"/>
            <w:hideMark/>
          </w:tcPr>
          <w:p w:rsidR="00C642E4" w:rsidRDefault="00C642E4">
            <w:pPr>
              <w:jc w:val="right"/>
              <w:rPr>
                <w:rFonts w:ascii="Arial" w:hAnsi="Arial" w:cs="Arial"/>
                <w:color w:val="000000"/>
                <w:sz w:val="22"/>
                <w:szCs w:val="22"/>
              </w:rPr>
            </w:pPr>
            <w:r>
              <w:rPr>
                <w:rFonts w:ascii="Arial" w:hAnsi="Arial" w:cs="Arial"/>
                <w:color w:val="000000"/>
                <w:sz w:val="22"/>
                <w:szCs w:val="22"/>
              </w:rPr>
              <w:t>43,25%</w:t>
            </w:r>
          </w:p>
        </w:tc>
      </w:tr>
      <w:tr w:rsidR="00C642E4" w:rsidTr="00C642E4">
        <w:trPr>
          <w:trHeight w:val="300"/>
        </w:trPr>
        <w:tc>
          <w:tcPr>
            <w:tcW w:w="4095" w:type="dxa"/>
            <w:tcBorders>
              <w:top w:val="nil"/>
              <w:left w:val="nil"/>
              <w:bottom w:val="nil"/>
              <w:right w:val="single" w:sz="8" w:space="0" w:color="auto"/>
            </w:tcBorders>
            <w:shd w:val="clear" w:color="auto" w:fill="auto"/>
            <w:noWrap/>
            <w:vAlign w:val="bottom"/>
            <w:hideMark/>
          </w:tcPr>
          <w:p w:rsidR="00C642E4" w:rsidRDefault="00C642E4">
            <w:pPr>
              <w:jc w:val="center"/>
              <w:rPr>
                <w:rFonts w:ascii="Arial" w:hAnsi="Arial" w:cs="Arial"/>
                <w:color w:val="000000"/>
                <w:sz w:val="22"/>
                <w:szCs w:val="22"/>
              </w:rPr>
            </w:pPr>
            <w:r>
              <w:rPr>
                <w:rFonts w:ascii="Arial" w:hAnsi="Arial" w:cs="Arial"/>
                <w:color w:val="000000"/>
                <w:sz w:val="22"/>
                <w:szCs w:val="22"/>
              </w:rPr>
              <w:t>Πωλήσεις αποθεμάτων &amp; υπηρεσιών</w:t>
            </w:r>
          </w:p>
        </w:tc>
        <w:tc>
          <w:tcPr>
            <w:tcW w:w="1617"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1.112.406,13</w:t>
            </w:r>
          </w:p>
        </w:tc>
        <w:tc>
          <w:tcPr>
            <w:tcW w:w="874"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c>
          <w:tcPr>
            <w:tcW w:w="1628" w:type="dxa"/>
            <w:tcBorders>
              <w:top w:val="nil"/>
              <w:left w:val="nil"/>
              <w:bottom w:val="nil"/>
              <w:right w:val="single" w:sz="8" w:space="0" w:color="auto"/>
            </w:tcBorders>
            <w:shd w:val="clear" w:color="auto" w:fill="auto"/>
            <w:noWrap/>
            <w:vAlign w:val="bottom"/>
            <w:hideMark/>
          </w:tcPr>
          <w:p w:rsidR="00C642E4" w:rsidRDefault="00C642E4">
            <w:pPr>
              <w:jc w:val="right"/>
              <w:rPr>
                <w:rFonts w:ascii="Arial" w:hAnsi="Arial" w:cs="Arial"/>
                <w:color w:val="000000"/>
                <w:sz w:val="22"/>
                <w:szCs w:val="22"/>
              </w:rPr>
            </w:pPr>
            <w:r>
              <w:rPr>
                <w:rFonts w:ascii="Arial" w:hAnsi="Arial" w:cs="Arial"/>
                <w:color w:val="000000"/>
                <w:sz w:val="22"/>
                <w:szCs w:val="22"/>
              </w:rPr>
              <w:t>1.237.610,60</w:t>
            </w:r>
          </w:p>
        </w:tc>
        <w:tc>
          <w:tcPr>
            <w:tcW w:w="1067" w:type="dxa"/>
            <w:vMerge/>
            <w:tcBorders>
              <w:top w:val="nil"/>
              <w:left w:val="single" w:sz="8" w:space="0" w:color="auto"/>
              <w:bottom w:val="nil"/>
              <w:right w:val="single" w:sz="8" w:space="0" w:color="auto"/>
            </w:tcBorders>
            <w:vAlign w:val="center"/>
            <w:hideMark/>
          </w:tcPr>
          <w:p w:rsidR="00C642E4" w:rsidRDefault="00C642E4">
            <w:pPr>
              <w:rPr>
                <w:rFonts w:ascii="Arial" w:hAnsi="Arial" w:cs="Arial"/>
                <w:color w:val="000000"/>
                <w:sz w:val="22"/>
                <w:szCs w:val="22"/>
              </w:rPr>
            </w:pPr>
          </w:p>
        </w:tc>
      </w:tr>
      <w:tr w:rsidR="00C642E4" w:rsidTr="00C642E4">
        <w:trPr>
          <w:trHeight w:val="315"/>
        </w:trPr>
        <w:tc>
          <w:tcPr>
            <w:tcW w:w="4095" w:type="dxa"/>
            <w:tcBorders>
              <w:top w:val="nil"/>
              <w:left w:val="nil"/>
              <w:bottom w:val="nil"/>
              <w:right w:val="nil"/>
            </w:tcBorders>
            <w:shd w:val="clear" w:color="auto" w:fill="auto"/>
            <w:noWrap/>
            <w:vAlign w:val="bottom"/>
            <w:hideMark/>
          </w:tcPr>
          <w:p w:rsidR="00C642E4" w:rsidRDefault="00C642E4">
            <w:pPr>
              <w:jc w:val="right"/>
              <w:rPr>
                <w:rFonts w:ascii="Arial" w:hAnsi="Arial" w:cs="Arial"/>
                <w:color w:val="000000"/>
                <w:sz w:val="22"/>
                <w:szCs w:val="22"/>
              </w:rPr>
            </w:pPr>
          </w:p>
        </w:tc>
        <w:tc>
          <w:tcPr>
            <w:tcW w:w="1617" w:type="dxa"/>
            <w:tcBorders>
              <w:top w:val="nil"/>
              <w:left w:val="nil"/>
              <w:bottom w:val="nil"/>
              <w:right w:val="nil"/>
            </w:tcBorders>
            <w:shd w:val="clear" w:color="auto" w:fill="auto"/>
            <w:noWrap/>
            <w:vAlign w:val="bottom"/>
            <w:hideMark/>
          </w:tcPr>
          <w:p w:rsidR="00C642E4" w:rsidRDefault="00C642E4">
            <w:pPr>
              <w:rPr>
                <w:sz w:val="20"/>
                <w:szCs w:val="20"/>
              </w:rPr>
            </w:pPr>
          </w:p>
        </w:tc>
        <w:tc>
          <w:tcPr>
            <w:tcW w:w="874" w:type="dxa"/>
            <w:tcBorders>
              <w:top w:val="nil"/>
              <w:left w:val="nil"/>
              <w:bottom w:val="nil"/>
              <w:right w:val="nil"/>
            </w:tcBorders>
            <w:shd w:val="clear" w:color="auto" w:fill="auto"/>
            <w:noWrap/>
            <w:vAlign w:val="bottom"/>
            <w:hideMark/>
          </w:tcPr>
          <w:p w:rsidR="00C642E4" w:rsidRDefault="00C642E4">
            <w:pPr>
              <w:rPr>
                <w:sz w:val="20"/>
                <w:szCs w:val="20"/>
              </w:rPr>
            </w:pPr>
          </w:p>
        </w:tc>
        <w:tc>
          <w:tcPr>
            <w:tcW w:w="1628" w:type="dxa"/>
            <w:tcBorders>
              <w:top w:val="nil"/>
              <w:left w:val="nil"/>
              <w:bottom w:val="nil"/>
              <w:right w:val="nil"/>
            </w:tcBorders>
            <w:shd w:val="clear" w:color="auto" w:fill="auto"/>
            <w:noWrap/>
            <w:vAlign w:val="bottom"/>
            <w:hideMark/>
          </w:tcPr>
          <w:p w:rsidR="00C642E4" w:rsidRDefault="00C642E4">
            <w:pPr>
              <w:rPr>
                <w:sz w:val="20"/>
                <w:szCs w:val="20"/>
              </w:rPr>
            </w:pPr>
          </w:p>
        </w:tc>
        <w:tc>
          <w:tcPr>
            <w:tcW w:w="1067" w:type="dxa"/>
            <w:tcBorders>
              <w:top w:val="nil"/>
              <w:left w:val="nil"/>
              <w:bottom w:val="nil"/>
              <w:right w:val="nil"/>
            </w:tcBorders>
            <w:shd w:val="clear" w:color="auto" w:fill="auto"/>
            <w:vAlign w:val="bottom"/>
            <w:hideMark/>
          </w:tcPr>
          <w:p w:rsidR="00C642E4" w:rsidRDefault="00C642E4">
            <w:pPr>
              <w:rPr>
                <w:sz w:val="20"/>
                <w:szCs w:val="20"/>
              </w:rPr>
            </w:pPr>
          </w:p>
        </w:tc>
      </w:tr>
      <w:tr w:rsidR="00C642E4" w:rsidTr="00C642E4">
        <w:trPr>
          <w:trHeight w:val="600"/>
        </w:trPr>
        <w:tc>
          <w:tcPr>
            <w:tcW w:w="9281" w:type="dxa"/>
            <w:gridSpan w:val="5"/>
            <w:tcBorders>
              <w:top w:val="nil"/>
              <w:left w:val="nil"/>
              <w:bottom w:val="nil"/>
              <w:right w:val="nil"/>
            </w:tcBorders>
            <w:shd w:val="clear" w:color="auto" w:fill="auto"/>
            <w:vAlign w:val="bottom"/>
            <w:hideMark/>
          </w:tcPr>
          <w:p w:rsidR="00C642E4" w:rsidRDefault="00C642E4">
            <w:pPr>
              <w:jc w:val="both"/>
              <w:rPr>
                <w:rFonts w:ascii="Arial" w:hAnsi="Arial" w:cs="Arial"/>
                <w:color w:val="000000"/>
                <w:sz w:val="22"/>
                <w:szCs w:val="22"/>
              </w:rPr>
            </w:pPr>
            <w:r>
              <w:rPr>
                <w:rFonts w:ascii="Arial" w:hAnsi="Arial" w:cs="Arial"/>
                <w:color w:val="000000"/>
                <w:sz w:val="22"/>
                <w:szCs w:val="22"/>
              </w:rPr>
              <w:t>Ο αριθμοδείκτης αυτός απεικονίζει το ποσοστιαίο μέγεθος του μικτού κέρδους επί των πωλήσεων της εταιρείας.</w:t>
            </w:r>
          </w:p>
        </w:tc>
      </w:tr>
    </w:tbl>
    <w:p w:rsidR="00525943" w:rsidRPr="004E226F" w:rsidRDefault="00525943" w:rsidP="007E484A">
      <w:pPr>
        <w:spacing w:line="360" w:lineRule="auto"/>
        <w:ind w:firstLine="720"/>
        <w:jc w:val="both"/>
      </w:pPr>
    </w:p>
    <w:p w:rsidR="003875FE" w:rsidRPr="00227057" w:rsidRDefault="003875FE" w:rsidP="003875FE">
      <w:pPr>
        <w:suppressAutoHyphens/>
        <w:spacing w:line="360" w:lineRule="auto"/>
        <w:jc w:val="both"/>
        <w:rPr>
          <w:rFonts w:ascii="Arial" w:eastAsia="SimSun" w:hAnsi="Arial" w:cs="Mangal"/>
          <w:kern w:val="1"/>
          <w:sz w:val="20"/>
          <w:szCs w:val="20"/>
          <w:lang w:eastAsia="hi-IN" w:bidi="hi-IN"/>
        </w:rPr>
      </w:pPr>
    </w:p>
    <w:p w:rsidR="003875FE" w:rsidRPr="004E73CE" w:rsidRDefault="003875FE" w:rsidP="003875FE">
      <w:pPr>
        <w:numPr>
          <w:ilvl w:val="0"/>
          <w:numId w:val="2"/>
        </w:numPr>
        <w:suppressAutoHyphens/>
        <w:spacing w:line="360" w:lineRule="auto"/>
        <w:jc w:val="both"/>
        <w:rPr>
          <w:rFonts w:eastAsia="SimSun"/>
          <w:i/>
          <w:kern w:val="1"/>
          <w:szCs w:val="20"/>
          <w:u w:val="single"/>
          <w:lang w:eastAsia="hi-IN" w:bidi="hi-IN"/>
        </w:rPr>
      </w:pPr>
      <w:r w:rsidRPr="004E73CE">
        <w:rPr>
          <w:rFonts w:eastAsia="SimSun"/>
          <w:i/>
          <w:kern w:val="1"/>
          <w:szCs w:val="20"/>
          <w:u w:val="single"/>
          <w:lang w:eastAsia="hi-IN" w:bidi="hi-IN"/>
        </w:rPr>
        <w:t>Παρουσίαση αποτελεσμάτων χρήσης</w:t>
      </w:r>
    </w:p>
    <w:p w:rsidR="003875FE" w:rsidRPr="004E73CE" w:rsidRDefault="003875FE" w:rsidP="003875FE">
      <w:pPr>
        <w:suppressAutoHyphens/>
        <w:spacing w:line="360" w:lineRule="auto"/>
        <w:ind w:firstLine="720"/>
        <w:jc w:val="both"/>
        <w:rPr>
          <w:rFonts w:eastAsia="SimSun"/>
          <w:kern w:val="1"/>
          <w:sz w:val="20"/>
          <w:szCs w:val="20"/>
          <w:lang w:eastAsia="hi-IN" w:bidi="hi-IN"/>
        </w:rPr>
      </w:pPr>
    </w:p>
    <w:p w:rsidR="003875FE" w:rsidRPr="004E73CE" w:rsidRDefault="003875FE" w:rsidP="007859EC">
      <w:pPr>
        <w:suppressAutoHyphens/>
        <w:spacing w:line="360" w:lineRule="auto"/>
        <w:jc w:val="both"/>
      </w:pPr>
      <w:r w:rsidRPr="004E73CE">
        <w:t xml:space="preserve">Ο κύκλος εργασιών της χρήσης παρουσίασε </w:t>
      </w:r>
      <w:r w:rsidR="004E73CE" w:rsidRPr="004E73CE">
        <w:t>μια μικρή μείωση</w:t>
      </w:r>
      <w:r w:rsidRPr="004E73CE">
        <w:t xml:space="preserve">, </w:t>
      </w:r>
      <w:r w:rsidR="004E73CE" w:rsidRPr="004E73CE">
        <w:t>παράλληλα όμως</w:t>
      </w:r>
      <w:r w:rsidRPr="004E73CE">
        <w:t xml:space="preserve"> ο εξορθολογισμός των δαπανών και η βελτίωση του διαχειριστικού κόστους βοήθησαν ώστε το αποτέλεσμα της χρήσης να </w:t>
      </w:r>
      <w:r w:rsidR="00525943" w:rsidRPr="004E73CE">
        <w:t>είναι</w:t>
      </w:r>
      <w:r w:rsidRPr="004E73CE">
        <w:t xml:space="preserve"> κερδοφόρο κατά </w:t>
      </w:r>
      <w:r w:rsidR="00525943" w:rsidRPr="00525943">
        <w:t xml:space="preserve">18.998,24 </w:t>
      </w:r>
      <w:r w:rsidRPr="004E73CE">
        <w:t xml:space="preserve"> χιλ € πρό φόρων. Μετά το φόρο ανήλθαν στο ποσό των </w:t>
      </w:r>
      <w:r w:rsidR="00525943" w:rsidRPr="00C642E4">
        <w:t>13.198,75</w:t>
      </w:r>
      <w:r w:rsidRPr="004E73CE">
        <w:t xml:space="preserve"> χιλ. €</w:t>
      </w:r>
      <w:r w:rsidR="00C642E4" w:rsidRPr="00C642E4">
        <w:t>.</w:t>
      </w:r>
      <w:r w:rsidRPr="004E73CE">
        <w:t>.</w:t>
      </w:r>
    </w:p>
    <w:p w:rsidR="003875FE" w:rsidRDefault="003875FE" w:rsidP="007859EC">
      <w:pPr>
        <w:suppressAutoHyphens/>
        <w:spacing w:line="360" w:lineRule="auto"/>
        <w:jc w:val="both"/>
      </w:pPr>
      <w:r w:rsidRPr="004E73CE">
        <w:t>Η πραγματική οικονομική κατάσταση της εταιρείας πρέπει να θεωρείται ότι ανταποκρίνεται στην εμφανιζόμενη εικόνα του Ισολογισμού της χρήσης 1/1/201</w:t>
      </w:r>
      <w:r w:rsidR="00525943" w:rsidRPr="00525943">
        <w:t>8</w:t>
      </w:r>
      <w:r w:rsidRPr="004E73CE">
        <w:t xml:space="preserve"> έως 31/12/201</w:t>
      </w:r>
      <w:r w:rsidR="00525943" w:rsidRPr="00525943">
        <w:t>8</w:t>
      </w:r>
      <w:r w:rsidRPr="004E73CE">
        <w:t>.</w:t>
      </w:r>
    </w:p>
    <w:p w:rsidR="004E73CE" w:rsidRPr="004E73CE" w:rsidRDefault="004E73CE" w:rsidP="007859EC">
      <w:pPr>
        <w:suppressAutoHyphens/>
        <w:spacing w:line="360" w:lineRule="auto"/>
        <w:jc w:val="both"/>
      </w:pPr>
    </w:p>
    <w:p w:rsidR="003875FE" w:rsidRPr="004E73CE" w:rsidRDefault="003875FE" w:rsidP="003875FE">
      <w:pPr>
        <w:suppressAutoHyphens/>
        <w:spacing w:line="360" w:lineRule="auto"/>
        <w:ind w:firstLine="720"/>
        <w:jc w:val="both"/>
        <w:rPr>
          <w:rFonts w:eastAsia="SimSun"/>
          <w:kern w:val="1"/>
          <w:sz w:val="20"/>
          <w:szCs w:val="20"/>
          <w:lang w:eastAsia="hi-IN" w:bidi="hi-IN"/>
        </w:rPr>
      </w:pPr>
    </w:p>
    <w:p w:rsidR="003875FE" w:rsidRPr="004E73CE" w:rsidRDefault="003875FE" w:rsidP="003875FE">
      <w:pPr>
        <w:numPr>
          <w:ilvl w:val="0"/>
          <w:numId w:val="2"/>
        </w:numPr>
        <w:tabs>
          <w:tab w:val="left" w:pos="720"/>
        </w:tabs>
        <w:suppressAutoHyphens/>
        <w:spacing w:line="360" w:lineRule="auto"/>
        <w:jc w:val="both"/>
        <w:rPr>
          <w:rFonts w:eastAsia="SimSun"/>
          <w:i/>
          <w:iCs/>
          <w:kern w:val="1"/>
          <w:szCs w:val="20"/>
          <w:u w:val="single"/>
          <w:lang w:eastAsia="hi-IN" w:bidi="hi-IN"/>
        </w:rPr>
      </w:pPr>
      <w:r w:rsidRPr="004E73CE">
        <w:rPr>
          <w:rFonts w:eastAsia="SimSun"/>
          <w:i/>
          <w:iCs/>
          <w:kern w:val="1"/>
          <w:szCs w:val="20"/>
          <w:u w:val="single"/>
          <w:lang w:eastAsia="hi-IN" w:bidi="hi-IN"/>
        </w:rPr>
        <w:t xml:space="preserve">Προοπτικές για το μέλλον </w:t>
      </w:r>
    </w:p>
    <w:p w:rsidR="003875FE" w:rsidRPr="004E73CE" w:rsidRDefault="003875FE" w:rsidP="003875FE">
      <w:pPr>
        <w:suppressAutoHyphens/>
        <w:spacing w:line="360" w:lineRule="auto"/>
        <w:jc w:val="both"/>
        <w:rPr>
          <w:rFonts w:eastAsia="SimSun"/>
          <w:kern w:val="1"/>
          <w:sz w:val="20"/>
          <w:szCs w:val="20"/>
          <w:lang w:eastAsia="hi-IN" w:bidi="hi-IN"/>
        </w:rPr>
      </w:pPr>
    </w:p>
    <w:p w:rsidR="003875FE" w:rsidRPr="004E73CE" w:rsidRDefault="003875FE" w:rsidP="003875FE">
      <w:pPr>
        <w:suppressAutoHyphens/>
        <w:spacing w:line="360" w:lineRule="auto"/>
        <w:jc w:val="both"/>
        <w:rPr>
          <w:rFonts w:eastAsia="SimSun"/>
          <w:kern w:val="1"/>
          <w:lang w:eastAsia="hi-IN" w:bidi="hi-IN"/>
        </w:rPr>
      </w:pPr>
      <w:r w:rsidRPr="004E73CE">
        <w:t>Η εταιρεία είναι αισιόδοξη για τη μελλοντική της πορεία. Οι προσπάθειες για βελτίωση των υπηρεσιών της και για επίτευξη χαμηλών εξόδων θα πρέπει να είναι συνεχείς προκειμένου να οδηγήσουν σε ακόμα καλύτερα αποτελέσματα</w:t>
      </w:r>
      <w:r w:rsidRPr="004E73CE">
        <w:rPr>
          <w:rFonts w:eastAsia="SimSun"/>
          <w:kern w:val="1"/>
          <w:lang w:eastAsia="hi-IN" w:bidi="hi-IN"/>
        </w:rPr>
        <w:t xml:space="preserve">. </w:t>
      </w:r>
    </w:p>
    <w:p w:rsidR="00E57476" w:rsidRPr="004E73CE" w:rsidRDefault="00E57476" w:rsidP="003875FE">
      <w:pPr>
        <w:suppressAutoHyphens/>
        <w:spacing w:line="360" w:lineRule="auto"/>
        <w:jc w:val="both"/>
        <w:rPr>
          <w:rFonts w:eastAsia="SimSun"/>
          <w:kern w:val="1"/>
          <w:lang w:eastAsia="hi-IN" w:bidi="hi-IN"/>
        </w:rPr>
      </w:pPr>
    </w:p>
    <w:p w:rsidR="003875FE" w:rsidRPr="004E73CE" w:rsidRDefault="003875FE" w:rsidP="003875FE">
      <w:pPr>
        <w:numPr>
          <w:ilvl w:val="0"/>
          <w:numId w:val="2"/>
        </w:numPr>
        <w:tabs>
          <w:tab w:val="left" w:pos="360"/>
        </w:tabs>
        <w:suppressAutoHyphens/>
        <w:spacing w:line="360" w:lineRule="auto"/>
        <w:jc w:val="both"/>
        <w:rPr>
          <w:rFonts w:eastAsia="SimSun"/>
          <w:kern w:val="1"/>
          <w:szCs w:val="20"/>
          <w:lang w:eastAsia="hi-IN" w:bidi="hi-IN"/>
        </w:rPr>
      </w:pPr>
      <w:r w:rsidRPr="004E73CE">
        <w:rPr>
          <w:rFonts w:eastAsia="SimSun"/>
          <w:i/>
          <w:iCs/>
          <w:kern w:val="1"/>
          <w:szCs w:val="20"/>
          <w:u w:val="single"/>
          <w:lang w:eastAsia="hi-IN" w:bidi="hi-IN"/>
        </w:rPr>
        <w:t>Κατεχόμενα από την εταιρεία χρεόγραφα</w:t>
      </w:r>
      <w:r w:rsidRPr="004E73CE">
        <w:rPr>
          <w:rFonts w:eastAsia="SimSun"/>
          <w:kern w:val="1"/>
          <w:szCs w:val="20"/>
          <w:lang w:eastAsia="hi-IN" w:bidi="hi-IN"/>
        </w:rPr>
        <w:t xml:space="preserve"> </w:t>
      </w:r>
    </w:p>
    <w:p w:rsidR="003875FE" w:rsidRPr="004E73CE" w:rsidRDefault="003875FE" w:rsidP="003875FE">
      <w:pPr>
        <w:tabs>
          <w:tab w:val="left" w:pos="360"/>
        </w:tabs>
        <w:suppressAutoHyphens/>
        <w:spacing w:line="360" w:lineRule="auto"/>
        <w:jc w:val="both"/>
        <w:rPr>
          <w:rFonts w:eastAsia="SimSun"/>
          <w:kern w:val="1"/>
          <w:lang w:eastAsia="hi-IN" w:bidi="hi-IN"/>
        </w:rPr>
      </w:pPr>
      <w:r w:rsidRPr="004E73CE">
        <w:rPr>
          <w:rFonts w:eastAsia="SimSun"/>
          <w:kern w:val="1"/>
          <w:lang w:eastAsia="hi-IN" w:bidi="hi-IN"/>
        </w:rPr>
        <w:t>Η εταιρεία κατά την χρήση 1/1/201</w:t>
      </w:r>
      <w:r w:rsidR="00525943" w:rsidRPr="00525943">
        <w:rPr>
          <w:rFonts w:eastAsia="SimSun"/>
          <w:kern w:val="1"/>
          <w:lang w:eastAsia="hi-IN" w:bidi="hi-IN"/>
        </w:rPr>
        <w:t>8</w:t>
      </w:r>
      <w:r w:rsidRPr="004E73CE">
        <w:rPr>
          <w:rFonts w:eastAsia="SimSun"/>
          <w:kern w:val="1"/>
          <w:lang w:eastAsia="hi-IN" w:bidi="hi-IN"/>
        </w:rPr>
        <w:t xml:space="preserve"> έως 31/12/201</w:t>
      </w:r>
      <w:r w:rsidR="00525943" w:rsidRPr="00525943">
        <w:rPr>
          <w:rFonts w:eastAsia="SimSun"/>
          <w:kern w:val="1"/>
          <w:lang w:eastAsia="hi-IN" w:bidi="hi-IN"/>
        </w:rPr>
        <w:t>8</w:t>
      </w:r>
      <w:r w:rsidRPr="004E73CE">
        <w:rPr>
          <w:rFonts w:eastAsia="SimSun"/>
          <w:kern w:val="1"/>
          <w:lang w:eastAsia="hi-IN" w:bidi="hi-IN"/>
        </w:rPr>
        <w:t xml:space="preserve"> δεν είχε στην κατοχή της χρεόγραφα.</w:t>
      </w:r>
    </w:p>
    <w:p w:rsidR="003875FE" w:rsidRPr="004E73CE" w:rsidRDefault="003875FE" w:rsidP="003875FE">
      <w:pPr>
        <w:tabs>
          <w:tab w:val="left" w:pos="360"/>
        </w:tabs>
        <w:suppressAutoHyphens/>
        <w:spacing w:line="360" w:lineRule="auto"/>
        <w:jc w:val="both"/>
        <w:rPr>
          <w:rFonts w:eastAsia="SimSun"/>
          <w:kern w:val="1"/>
          <w:sz w:val="20"/>
          <w:szCs w:val="20"/>
          <w:lang w:eastAsia="hi-IN" w:bidi="hi-IN"/>
        </w:rPr>
      </w:pPr>
    </w:p>
    <w:p w:rsidR="0052724D" w:rsidRPr="004E73CE" w:rsidRDefault="0052724D" w:rsidP="003875FE">
      <w:pPr>
        <w:numPr>
          <w:ilvl w:val="0"/>
          <w:numId w:val="2"/>
        </w:numPr>
        <w:tabs>
          <w:tab w:val="left" w:pos="360"/>
        </w:tabs>
        <w:suppressAutoHyphens/>
        <w:spacing w:line="360" w:lineRule="auto"/>
        <w:jc w:val="both"/>
        <w:rPr>
          <w:rFonts w:eastAsia="SimSun"/>
          <w:i/>
          <w:iCs/>
          <w:kern w:val="1"/>
          <w:szCs w:val="20"/>
          <w:u w:val="single"/>
          <w:lang w:eastAsia="hi-IN" w:bidi="hi-IN"/>
        </w:rPr>
      </w:pPr>
      <w:r w:rsidRPr="004E73CE">
        <w:rPr>
          <w:bCs/>
          <w:i/>
          <w:u w:val="single"/>
        </w:rPr>
        <w:t>Δραστηριότητες στον τομέα της έρευνας και ανάπτυξης</w:t>
      </w:r>
    </w:p>
    <w:p w:rsidR="0052724D" w:rsidRPr="004E73CE" w:rsidRDefault="007079BF" w:rsidP="0052724D">
      <w:pPr>
        <w:tabs>
          <w:tab w:val="left" w:pos="360"/>
        </w:tabs>
        <w:suppressAutoHyphens/>
        <w:spacing w:line="360" w:lineRule="auto"/>
        <w:ind w:left="360"/>
        <w:jc w:val="both"/>
        <w:rPr>
          <w:color w:val="333333"/>
        </w:rPr>
      </w:pPr>
      <w:r w:rsidRPr="004E73CE">
        <w:rPr>
          <w:color w:val="333333"/>
        </w:rPr>
        <w:t>Δ</w:t>
      </w:r>
      <w:r w:rsidR="0052724D" w:rsidRPr="004E73CE">
        <w:rPr>
          <w:color w:val="333333"/>
        </w:rPr>
        <w:t>εν υπάρχουν</w:t>
      </w:r>
      <w:r w:rsidRPr="004E73CE">
        <w:rPr>
          <w:color w:val="333333"/>
        </w:rPr>
        <w:t>.</w:t>
      </w:r>
    </w:p>
    <w:p w:rsidR="0052724D" w:rsidRPr="004E73CE" w:rsidRDefault="0052724D" w:rsidP="0052724D">
      <w:pPr>
        <w:tabs>
          <w:tab w:val="left" w:pos="360"/>
        </w:tabs>
        <w:suppressAutoHyphens/>
        <w:spacing w:line="360" w:lineRule="auto"/>
        <w:ind w:left="360"/>
        <w:jc w:val="both"/>
        <w:rPr>
          <w:rFonts w:eastAsia="SimSun"/>
          <w:iCs/>
          <w:kern w:val="1"/>
          <w:szCs w:val="20"/>
          <w:lang w:eastAsia="hi-IN" w:bidi="hi-IN"/>
        </w:rPr>
      </w:pPr>
    </w:p>
    <w:p w:rsidR="0052724D" w:rsidRPr="004E73CE" w:rsidRDefault="0052724D" w:rsidP="003875FE">
      <w:pPr>
        <w:numPr>
          <w:ilvl w:val="0"/>
          <w:numId w:val="2"/>
        </w:numPr>
        <w:tabs>
          <w:tab w:val="left" w:pos="360"/>
        </w:tabs>
        <w:suppressAutoHyphens/>
        <w:spacing w:line="360" w:lineRule="auto"/>
        <w:jc w:val="both"/>
        <w:rPr>
          <w:rFonts w:eastAsia="SimSun"/>
          <w:i/>
          <w:iCs/>
          <w:kern w:val="1"/>
          <w:szCs w:val="20"/>
          <w:u w:val="single"/>
          <w:lang w:eastAsia="hi-IN" w:bidi="hi-IN"/>
        </w:rPr>
      </w:pPr>
      <w:r w:rsidRPr="004E73CE">
        <w:rPr>
          <w:i/>
          <w:color w:val="333333"/>
          <w:u w:val="single"/>
        </w:rPr>
        <w:t>Πληροφορίες για τα χρηματοοικονομικά μέσα</w:t>
      </w:r>
    </w:p>
    <w:p w:rsidR="0052724D" w:rsidRPr="004E73CE" w:rsidRDefault="0052724D" w:rsidP="0052724D">
      <w:pPr>
        <w:tabs>
          <w:tab w:val="left" w:pos="360"/>
        </w:tabs>
        <w:suppressAutoHyphens/>
        <w:spacing w:line="360" w:lineRule="auto"/>
        <w:ind w:left="360"/>
        <w:jc w:val="both"/>
        <w:rPr>
          <w:color w:val="333333"/>
        </w:rPr>
      </w:pPr>
      <w:r w:rsidRPr="004E73CE">
        <w:rPr>
          <w:color w:val="333333"/>
        </w:rPr>
        <w:t>Δεν υπάρχουν</w:t>
      </w:r>
      <w:r w:rsidR="007079BF" w:rsidRPr="004E73CE">
        <w:rPr>
          <w:color w:val="333333"/>
        </w:rPr>
        <w:t>.</w:t>
      </w:r>
    </w:p>
    <w:p w:rsidR="0052724D" w:rsidRPr="004E73CE" w:rsidRDefault="0052724D" w:rsidP="0052724D">
      <w:pPr>
        <w:tabs>
          <w:tab w:val="left" w:pos="360"/>
        </w:tabs>
        <w:suppressAutoHyphens/>
        <w:spacing w:line="360" w:lineRule="auto"/>
        <w:ind w:left="360"/>
        <w:jc w:val="both"/>
        <w:rPr>
          <w:rFonts w:eastAsia="SimSun"/>
          <w:i/>
          <w:iCs/>
          <w:kern w:val="1"/>
          <w:szCs w:val="20"/>
          <w:u w:val="single"/>
          <w:lang w:eastAsia="hi-IN" w:bidi="hi-IN"/>
        </w:rPr>
      </w:pPr>
    </w:p>
    <w:p w:rsidR="0052724D" w:rsidRPr="004E73CE" w:rsidRDefault="0052724D" w:rsidP="003875FE">
      <w:pPr>
        <w:numPr>
          <w:ilvl w:val="0"/>
          <w:numId w:val="2"/>
        </w:numPr>
        <w:tabs>
          <w:tab w:val="left" w:pos="360"/>
        </w:tabs>
        <w:suppressAutoHyphens/>
        <w:spacing w:line="360" w:lineRule="auto"/>
        <w:jc w:val="both"/>
        <w:rPr>
          <w:rFonts w:eastAsia="SimSun"/>
          <w:i/>
          <w:iCs/>
          <w:kern w:val="1"/>
          <w:szCs w:val="20"/>
          <w:u w:val="single"/>
          <w:lang w:eastAsia="hi-IN" w:bidi="hi-IN"/>
        </w:rPr>
      </w:pPr>
      <w:r w:rsidRPr="004E73CE">
        <w:rPr>
          <w:bCs/>
          <w:i/>
          <w:u w:val="single"/>
        </w:rPr>
        <w:t>Διαθέσιμο συνάλλαγμα</w:t>
      </w:r>
    </w:p>
    <w:p w:rsidR="0052724D" w:rsidRPr="004E73CE" w:rsidRDefault="0052724D" w:rsidP="0052724D">
      <w:pPr>
        <w:tabs>
          <w:tab w:val="left" w:pos="360"/>
        </w:tabs>
        <w:suppressAutoHyphens/>
        <w:spacing w:line="360" w:lineRule="auto"/>
        <w:ind w:left="360"/>
        <w:jc w:val="both"/>
        <w:rPr>
          <w:bCs/>
        </w:rPr>
      </w:pPr>
      <w:r w:rsidRPr="004E73CE">
        <w:rPr>
          <w:bCs/>
        </w:rPr>
        <w:t>Δεν υπάρχει</w:t>
      </w:r>
      <w:r w:rsidR="007079BF" w:rsidRPr="004E73CE">
        <w:rPr>
          <w:bCs/>
        </w:rPr>
        <w:t>.</w:t>
      </w:r>
    </w:p>
    <w:p w:rsidR="0052724D" w:rsidRPr="004E73CE" w:rsidRDefault="0052724D" w:rsidP="0052724D">
      <w:pPr>
        <w:tabs>
          <w:tab w:val="left" w:pos="360"/>
        </w:tabs>
        <w:suppressAutoHyphens/>
        <w:spacing w:line="360" w:lineRule="auto"/>
        <w:ind w:left="360"/>
        <w:jc w:val="both"/>
        <w:rPr>
          <w:rFonts w:eastAsia="SimSun"/>
          <w:iCs/>
          <w:kern w:val="1"/>
          <w:sz w:val="20"/>
          <w:szCs w:val="20"/>
          <w:lang w:eastAsia="hi-IN" w:bidi="hi-IN"/>
        </w:rPr>
      </w:pPr>
    </w:p>
    <w:p w:rsidR="003875FE" w:rsidRPr="004E73CE" w:rsidRDefault="003875FE" w:rsidP="003875FE">
      <w:pPr>
        <w:numPr>
          <w:ilvl w:val="0"/>
          <w:numId w:val="2"/>
        </w:numPr>
        <w:tabs>
          <w:tab w:val="left" w:pos="360"/>
        </w:tabs>
        <w:suppressAutoHyphens/>
        <w:spacing w:line="360" w:lineRule="auto"/>
        <w:jc w:val="both"/>
        <w:rPr>
          <w:rFonts w:eastAsia="SimSun"/>
          <w:i/>
          <w:iCs/>
          <w:kern w:val="1"/>
          <w:szCs w:val="20"/>
          <w:u w:val="single"/>
          <w:lang w:eastAsia="hi-IN" w:bidi="hi-IN"/>
        </w:rPr>
      </w:pPr>
      <w:r w:rsidRPr="004E73CE">
        <w:rPr>
          <w:rFonts w:eastAsia="SimSun"/>
          <w:i/>
          <w:iCs/>
          <w:kern w:val="1"/>
          <w:szCs w:val="20"/>
          <w:u w:val="single"/>
          <w:lang w:eastAsia="hi-IN" w:bidi="hi-IN"/>
        </w:rPr>
        <w:t>Ακίνητα της εταιρείας</w:t>
      </w:r>
    </w:p>
    <w:p w:rsidR="0052724D" w:rsidRPr="004E73CE" w:rsidRDefault="0052724D" w:rsidP="0052724D">
      <w:pPr>
        <w:tabs>
          <w:tab w:val="left" w:pos="360"/>
        </w:tabs>
        <w:suppressAutoHyphens/>
        <w:spacing w:line="360" w:lineRule="auto"/>
        <w:jc w:val="both"/>
        <w:rPr>
          <w:rFonts w:eastAsia="SimSun"/>
          <w:kern w:val="1"/>
          <w:lang w:eastAsia="hi-IN" w:bidi="hi-IN"/>
        </w:rPr>
      </w:pPr>
      <w:r w:rsidRPr="004E73CE">
        <w:rPr>
          <w:rFonts w:eastAsia="SimSun"/>
          <w:kern w:val="1"/>
          <w:lang w:eastAsia="hi-IN" w:bidi="hi-IN"/>
        </w:rPr>
        <w:t xml:space="preserve">      Εντός της χρήσης δεν αποκτήθηκαν ακίνητα. </w:t>
      </w:r>
    </w:p>
    <w:p w:rsidR="0052724D" w:rsidRPr="004E73CE" w:rsidRDefault="0052724D" w:rsidP="0052724D">
      <w:pPr>
        <w:tabs>
          <w:tab w:val="left" w:pos="360"/>
        </w:tabs>
        <w:suppressAutoHyphens/>
        <w:spacing w:line="360" w:lineRule="auto"/>
        <w:jc w:val="both"/>
        <w:rPr>
          <w:rFonts w:eastAsia="SimSun"/>
          <w:i/>
          <w:iCs/>
          <w:kern w:val="1"/>
          <w:szCs w:val="20"/>
          <w:u w:val="single"/>
          <w:lang w:eastAsia="hi-IN" w:bidi="hi-IN"/>
        </w:rPr>
      </w:pPr>
    </w:p>
    <w:p w:rsidR="0052724D" w:rsidRPr="004E73CE" w:rsidRDefault="0052724D" w:rsidP="003875FE">
      <w:pPr>
        <w:numPr>
          <w:ilvl w:val="0"/>
          <w:numId w:val="2"/>
        </w:numPr>
        <w:tabs>
          <w:tab w:val="left" w:pos="360"/>
        </w:tabs>
        <w:suppressAutoHyphens/>
        <w:spacing w:line="360" w:lineRule="auto"/>
        <w:jc w:val="both"/>
        <w:rPr>
          <w:rFonts w:eastAsia="SimSun"/>
          <w:i/>
          <w:iCs/>
          <w:kern w:val="1"/>
          <w:szCs w:val="20"/>
          <w:u w:val="single"/>
          <w:lang w:eastAsia="hi-IN" w:bidi="hi-IN"/>
        </w:rPr>
      </w:pPr>
      <w:r w:rsidRPr="004E73CE">
        <w:rPr>
          <w:rFonts w:eastAsia="SimSun"/>
          <w:i/>
          <w:iCs/>
          <w:kern w:val="1"/>
          <w:szCs w:val="20"/>
          <w:u w:val="single"/>
          <w:lang w:eastAsia="hi-IN" w:bidi="hi-IN"/>
        </w:rPr>
        <w:t>Εργασιακά θέματα</w:t>
      </w:r>
    </w:p>
    <w:p w:rsidR="0052724D" w:rsidRDefault="0052724D" w:rsidP="003B7C82">
      <w:pPr>
        <w:tabs>
          <w:tab w:val="left" w:pos="1440"/>
        </w:tabs>
        <w:spacing w:line="360" w:lineRule="auto"/>
        <w:jc w:val="both"/>
        <w:rPr>
          <w:bCs/>
          <w:iCs/>
          <w:spacing w:val="-2"/>
        </w:rPr>
      </w:pPr>
      <w:r w:rsidRPr="004E73CE">
        <w:rPr>
          <w:bCs/>
          <w:iCs/>
          <w:spacing w:val="-2"/>
        </w:rPr>
        <w:t>Η Εταιρεία, δίνει έμφαση στο υψηλό επίπεδο, την επαγγελματική εμπειρία, αλλά και το προσωπικό ήθος των στελεχών της. Τηρεί απαρέγκλιτα τις διατάξεις της εργατικής νομοθεσίας και εκπληρώνει όλες τις υποχρεώσεις της απέναντι στην Επιθεώρηση Εργασίας και στους Ασφαλιστικούς φορείς</w:t>
      </w:r>
    </w:p>
    <w:p w:rsidR="00525943" w:rsidRPr="004E73CE" w:rsidRDefault="00525943" w:rsidP="003B7C82">
      <w:pPr>
        <w:tabs>
          <w:tab w:val="left" w:pos="1440"/>
        </w:tabs>
        <w:spacing w:line="360" w:lineRule="auto"/>
        <w:jc w:val="both"/>
        <w:rPr>
          <w:bCs/>
          <w:iCs/>
          <w:spacing w:val="-2"/>
        </w:rPr>
      </w:pPr>
    </w:p>
    <w:p w:rsidR="0052724D" w:rsidRPr="004E73CE" w:rsidRDefault="0052724D" w:rsidP="0052724D">
      <w:pPr>
        <w:tabs>
          <w:tab w:val="left" w:pos="1440"/>
        </w:tabs>
        <w:spacing w:line="360" w:lineRule="auto"/>
        <w:ind w:left="720"/>
        <w:rPr>
          <w:b/>
          <w:color w:val="333333"/>
        </w:rPr>
      </w:pPr>
    </w:p>
    <w:p w:rsidR="0052724D" w:rsidRPr="004E73CE" w:rsidRDefault="0052724D" w:rsidP="007079BF">
      <w:pPr>
        <w:numPr>
          <w:ilvl w:val="0"/>
          <w:numId w:val="2"/>
        </w:numPr>
        <w:tabs>
          <w:tab w:val="left" w:pos="360"/>
        </w:tabs>
        <w:suppressAutoHyphens/>
        <w:spacing w:line="360" w:lineRule="auto"/>
        <w:jc w:val="both"/>
        <w:rPr>
          <w:rFonts w:eastAsia="SimSun"/>
          <w:i/>
          <w:iCs/>
          <w:kern w:val="1"/>
          <w:szCs w:val="20"/>
          <w:u w:val="single"/>
          <w:lang w:eastAsia="hi-IN" w:bidi="hi-IN"/>
        </w:rPr>
      </w:pPr>
      <w:r w:rsidRPr="004E73CE">
        <w:rPr>
          <w:rFonts w:eastAsia="SimSun"/>
          <w:i/>
          <w:iCs/>
          <w:kern w:val="1"/>
          <w:szCs w:val="20"/>
          <w:u w:val="single"/>
          <w:lang w:eastAsia="hi-IN" w:bidi="hi-IN"/>
        </w:rPr>
        <w:t xml:space="preserve"> Περιβαλλοντικά θέματα</w:t>
      </w:r>
    </w:p>
    <w:p w:rsidR="0052724D" w:rsidRPr="004E73CE" w:rsidRDefault="0052724D" w:rsidP="003B7C82">
      <w:pPr>
        <w:spacing w:line="360" w:lineRule="auto"/>
        <w:jc w:val="both"/>
        <w:rPr>
          <w:bCs/>
          <w:iCs/>
          <w:spacing w:val="-2"/>
        </w:rPr>
      </w:pPr>
      <w:r w:rsidRPr="004E73CE">
        <w:rPr>
          <w:bCs/>
          <w:spacing w:val="-2"/>
        </w:rPr>
        <w:t>Η Εταιρεία αναγνωρίζει την ανάγκη για συνεχή βελτίωση της περιβαλλοντικής επίδοσης με βάση τις αρχές της αειφόρου ανάπτυξης κ</w:t>
      </w:r>
      <w:r w:rsidR="003B7C82" w:rsidRPr="004E73CE">
        <w:rPr>
          <w:bCs/>
          <w:spacing w:val="-2"/>
        </w:rPr>
        <w:t xml:space="preserve">αι σε συμμόρφωση με την κείμενη </w:t>
      </w:r>
      <w:r w:rsidRPr="004E73CE">
        <w:rPr>
          <w:bCs/>
          <w:spacing w:val="-2"/>
        </w:rPr>
        <w:lastRenderedPageBreak/>
        <w:t>νομοθεσία και τα διεθνή πρότυπα και στοχεύει σε μία ισορροπημένη οικονομική ανάπτυξη σε αρμονία με το φυσικό περιβάλλον. Ακολουθώντας τις ανωτέρω αρχές, η Εταιρεία ασκεί τις δραστηριότητές της με τρόπο που εξασφαλίζει αφενός την προστασία του περιβάλλοντος και αφετέρου την υγιεινή και την ασφάλεια των εργαζομένων της.</w:t>
      </w:r>
    </w:p>
    <w:p w:rsidR="0052724D" w:rsidRPr="004E73CE" w:rsidRDefault="0052724D" w:rsidP="0052724D">
      <w:pPr>
        <w:tabs>
          <w:tab w:val="left" w:pos="1440"/>
        </w:tabs>
        <w:spacing w:line="360" w:lineRule="auto"/>
        <w:ind w:left="720"/>
        <w:rPr>
          <w:b/>
          <w:color w:val="333333"/>
        </w:rPr>
      </w:pPr>
    </w:p>
    <w:p w:rsidR="0052724D" w:rsidRDefault="0052724D" w:rsidP="007079BF">
      <w:pPr>
        <w:numPr>
          <w:ilvl w:val="0"/>
          <w:numId w:val="2"/>
        </w:numPr>
        <w:tabs>
          <w:tab w:val="left" w:pos="360"/>
        </w:tabs>
        <w:suppressAutoHyphens/>
        <w:spacing w:line="360" w:lineRule="auto"/>
        <w:jc w:val="both"/>
        <w:rPr>
          <w:rFonts w:eastAsia="SimSun"/>
          <w:i/>
          <w:iCs/>
          <w:kern w:val="1"/>
          <w:szCs w:val="20"/>
          <w:u w:val="single"/>
          <w:lang w:eastAsia="hi-IN" w:bidi="hi-IN"/>
        </w:rPr>
      </w:pPr>
      <w:r w:rsidRPr="004E73CE">
        <w:rPr>
          <w:rFonts w:eastAsia="SimSun"/>
          <w:i/>
          <w:iCs/>
          <w:kern w:val="1"/>
          <w:szCs w:val="20"/>
          <w:u w:val="single"/>
          <w:lang w:eastAsia="hi-IN" w:bidi="hi-IN"/>
        </w:rPr>
        <w:t>Διαχείριση κινδύνων</w:t>
      </w:r>
    </w:p>
    <w:p w:rsidR="004E73CE" w:rsidRPr="004E73CE" w:rsidRDefault="004E73CE" w:rsidP="004E73CE">
      <w:pPr>
        <w:tabs>
          <w:tab w:val="left" w:pos="360"/>
        </w:tabs>
        <w:suppressAutoHyphens/>
        <w:spacing w:line="360" w:lineRule="auto"/>
        <w:ind w:left="360"/>
        <w:jc w:val="both"/>
        <w:rPr>
          <w:rFonts w:eastAsia="SimSun"/>
          <w:i/>
          <w:iCs/>
          <w:kern w:val="1"/>
          <w:szCs w:val="20"/>
          <w:u w:val="single"/>
          <w:lang w:eastAsia="hi-IN" w:bidi="hi-IN"/>
        </w:rPr>
      </w:pPr>
    </w:p>
    <w:p w:rsidR="0052724D" w:rsidRPr="004E73CE" w:rsidRDefault="0052724D" w:rsidP="0052724D">
      <w:pPr>
        <w:numPr>
          <w:ilvl w:val="0"/>
          <w:numId w:val="5"/>
        </w:numPr>
        <w:jc w:val="both"/>
        <w:rPr>
          <w:b/>
          <w:sz w:val="22"/>
          <w:szCs w:val="22"/>
        </w:rPr>
      </w:pPr>
      <w:r w:rsidRPr="004E73CE">
        <w:rPr>
          <w:b/>
          <w:sz w:val="22"/>
          <w:szCs w:val="22"/>
        </w:rPr>
        <w:t>Πιστωτικός κίνδυνος</w:t>
      </w:r>
    </w:p>
    <w:p w:rsidR="0052724D" w:rsidRPr="004E73CE" w:rsidRDefault="0052724D" w:rsidP="0052724D">
      <w:pPr>
        <w:ind w:left="720"/>
        <w:jc w:val="both"/>
        <w:rPr>
          <w:b/>
          <w:sz w:val="22"/>
          <w:szCs w:val="22"/>
        </w:rPr>
      </w:pPr>
    </w:p>
    <w:p w:rsidR="0052724D" w:rsidRPr="004E73CE" w:rsidRDefault="00E761C8" w:rsidP="003B7C82">
      <w:pPr>
        <w:spacing w:line="360" w:lineRule="auto"/>
        <w:jc w:val="both"/>
        <w:rPr>
          <w:bCs/>
          <w:iCs/>
          <w:color w:val="000000"/>
          <w:spacing w:val="-2"/>
        </w:rPr>
      </w:pPr>
      <w:r w:rsidRPr="004E73CE">
        <w:rPr>
          <w:bCs/>
          <w:iCs/>
          <w:color w:val="000000"/>
          <w:spacing w:val="-2"/>
        </w:rPr>
        <w:t>Τ</w:t>
      </w:r>
      <w:r w:rsidR="0052724D" w:rsidRPr="004E73CE">
        <w:rPr>
          <w:bCs/>
          <w:iCs/>
          <w:color w:val="000000"/>
          <w:spacing w:val="-2"/>
        </w:rPr>
        <w:t>ο μεγαλύτερο μέρος του τζ</w:t>
      </w:r>
      <w:r w:rsidRPr="004E73CE">
        <w:rPr>
          <w:bCs/>
          <w:iCs/>
          <w:color w:val="000000"/>
          <w:spacing w:val="-2"/>
        </w:rPr>
        <w:t>ίρου αφορά σε λιανικές πωλήσεις οπότε δεν υφίσταται τέτοιος κίνδυνος.</w:t>
      </w:r>
    </w:p>
    <w:p w:rsidR="0052724D" w:rsidRPr="004E73CE" w:rsidRDefault="0052724D" w:rsidP="0052724D">
      <w:pPr>
        <w:pStyle w:val="yiv8246929700msonormal"/>
        <w:numPr>
          <w:ilvl w:val="0"/>
          <w:numId w:val="5"/>
        </w:numPr>
        <w:spacing w:line="360" w:lineRule="auto"/>
        <w:jc w:val="both"/>
        <w:rPr>
          <w:b/>
        </w:rPr>
      </w:pPr>
      <w:r w:rsidRPr="004E73CE">
        <w:rPr>
          <w:b/>
        </w:rPr>
        <w:t>Συναλλαγματικός κίνδυνος</w:t>
      </w:r>
    </w:p>
    <w:p w:rsidR="0052724D" w:rsidRDefault="0052724D" w:rsidP="003B7C82">
      <w:pPr>
        <w:spacing w:line="360" w:lineRule="auto"/>
        <w:jc w:val="both"/>
        <w:rPr>
          <w:bCs/>
          <w:color w:val="000000"/>
          <w:spacing w:val="-2"/>
        </w:rPr>
      </w:pPr>
      <w:r w:rsidRPr="004E73CE">
        <w:rPr>
          <w:bCs/>
          <w:color w:val="000000"/>
          <w:spacing w:val="-2"/>
        </w:rPr>
        <w:t>Η Εταιρεία δεν έχει συναλλαγές σε ξένο νόμισμα και ως εκ τούτου δεν υφίσταται τέτοιος κίνδυνος.</w:t>
      </w:r>
    </w:p>
    <w:p w:rsidR="00E54CCA" w:rsidRPr="004E73CE" w:rsidRDefault="00E54CCA" w:rsidP="003B7C82">
      <w:pPr>
        <w:spacing w:line="360" w:lineRule="auto"/>
        <w:jc w:val="both"/>
        <w:rPr>
          <w:bCs/>
          <w:color w:val="000000"/>
          <w:spacing w:val="-2"/>
        </w:rPr>
      </w:pPr>
    </w:p>
    <w:p w:rsidR="0052724D" w:rsidRPr="004E73CE" w:rsidRDefault="0052724D" w:rsidP="0052724D">
      <w:pPr>
        <w:numPr>
          <w:ilvl w:val="0"/>
          <w:numId w:val="5"/>
        </w:numPr>
        <w:spacing w:line="360" w:lineRule="auto"/>
        <w:rPr>
          <w:b/>
        </w:rPr>
      </w:pPr>
      <w:r w:rsidRPr="004E73CE">
        <w:rPr>
          <w:b/>
        </w:rPr>
        <w:t>Κίνδυνος τιμής</w:t>
      </w:r>
    </w:p>
    <w:p w:rsidR="0052724D" w:rsidRDefault="0052724D" w:rsidP="003B7C82">
      <w:pPr>
        <w:spacing w:line="360" w:lineRule="auto"/>
        <w:jc w:val="both"/>
        <w:rPr>
          <w:bCs/>
          <w:color w:val="000000"/>
          <w:spacing w:val="-2"/>
        </w:rPr>
      </w:pPr>
      <w:r w:rsidRPr="004E73CE">
        <w:rPr>
          <w:bCs/>
          <w:color w:val="000000"/>
          <w:spacing w:val="-2"/>
        </w:rPr>
        <w:t xml:space="preserve">Η Εταιρεία δεν εκτίθεται σε σημαντικές μεταβολές των τιμών. Ωστόσο, η εταιρεία </w:t>
      </w:r>
      <w:r w:rsidRPr="004E73CE">
        <w:t>θέτει ως βασική προϋπόθεση συνεργασίας με τους προμηθευτές της, τη δέσμευση για σταθερές τιμές τουλάχιστον σε ετήσια βάση. Επιπλέον βελτίωση των τιμών επιχειρείται, με την επίτευξη οικονομιών κλίμακας, μέσω του όγκου των προγραμματισμένων της αγορών από τους προμηθευτές της.</w:t>
      </w:r>
      <w:r w:rsidRPr="004E73CE">
        <w:rPr>
          <w:bCs/>
          <w:color w:val="000000"/>
          <w:spacing w:val="-2"/>
        </w:rPr>
        <w:t xml:space="preserve">    </w:t>
      </w:r>
    </w:p>
    <w:p w:rsidR="00E54CCA" w:rsidRPr="004E73CE" w:rsidRDefault="00E54CCA" w:rsidP="003B7C82">
      <w:pPr>
        <w:spacing w:line="360" w:lineRule="auto"/>
        <w:jc w:val="both"/>
        <w:rPr>
          <w:bCs/>
          <w:color w:val="000000"/>
          <w:spacing w:val="-2"/>
        </w:rPr>
      </w:pPr>
    </w:p>
    <w:p w:rsidR="0052724D" w:rsidRPr="004E73CE" w:rsidRDefault="0052724D" w:rsidP="0052724D">
      <w:pPr>
        <w:numPr>
          <w:ilvl w:val="0"/>
          <w:numId w:val="5"/>
        </w:numPr>
        <w:spacing w:line="360" w:lineRule="auto"/>
        <w:rPr>
          <w:b/>
        </w:rPr>
      </w:pPr>
      <w:r w:rsidRPr="004E73CE">
        <w:rPr>
          <w:b/>
        </w:rPr>
        <w:t>Ταμειακές ροές και δίκαιη αξία επιτοκίου κινδύνου</w:t>
      </w:r>
    </w:p>
    <w:p w:rsidR="0052724D" w:rsidRDefault="0052724D" w:rsidP="00E761C8">
      <w:pPr>
        <w:spacing w:line="360" w:lineRule="auto"/>
        <w:jc w:val="both"/>
        <w:rPr>
          <w:bCs/>
          <w:color w:val="000000"/>
          <w:spacing w:val="-2"/>
        </w:rPr>
      </w:pPr>
      <w:r w:rsidRPr="004E73CE">
        <w:rPr>
          <w:bCs/>
          <w:color w:val="000000"/>
          <w:spacing w:val="-2"/>
        </w:rPr>
        <w:t>Η Εταιρεία, πέραν των καταθέσεων όψεως, δεν έχει έντοκα στοιχεία ενεργητικού και παθητικού και συνεπώς το εισόδημα και οι λειτουργικές ταμειακές ροές της είναι ουσιωδώς ανεξάρτητες από τις αλλαγές στην αγορά των επιτοκίων.</w:t>
      </w:r>
    </w:p>
    <w:p w:rsidR="00525943" w:rsidRPr="004E73CE" w:rsidRDefault="00525943" w:rsidP="00E761C8">
      <w:pPr>
        <w:spacing w:line="360" w:lineRule="auto"/>
        <w:jc w:val="both"/>
        <w:rPr>
          <w:bCs/>
          <w:color w:val="000000"/>
          <w:spacing w:val="-2"/>
        </w:rPr>
      </w:pPr>
    </w:p>
    <w:p w:rsidR="0052724D" w:rsidRPr="004E73CE" w:rsidRDefault="0052724D" w:rsidP="0052724D">
      <w:pPr>
        <w:numPr>
          <w:ilvl w:val="0"/>
          <w:numId w:val="5"/>
        </w:numPr>
        <w:spacing w:line="360" w:lineRule="auto"/>
        <w:rPr>
          <w:b/>
        </w:rPr>
      </w:pPr>
      <w:r w:rsidRPr="004E73CE">
        <w:rPr>
          <w:b/>
        </w:rPr>
        <w:t>Κίνδυνος ρευστότητας</w:t>
      </w:r>
    </w:p>
    <w:p w:rsidR="0052724D" w:rsidRPr="004E73CE" w:rsidRDefault="0052724D" w:rsidP="00E761C8">
      <w:pPr>
        <w:spacing w:line="360" w:lineRule="auto"/>
        <w:jc w:val="both"/>
      </w:pPr>
      <w:r w:rsidRPr="004E73CE">
        <w:rPr>
          <w:bCs/>
          <w:color w:val="000000"/>
          <w:spacing w:val="-2"/>
        </w:rPr>
        <w:t>Η διοίκηση παρακολουθεί τις κυλιόμενες προβλέψεις των απαιτήσεων ρευστότητας της Εταιρείας για να διασφαλίσει ότι υπάρχει η αναγκαία ρευστότητα για τις λειτουργικές της ανάγκες.</w:t>
      </w:r>
      <w:r w:rsidRPr="004E73CE">
        <w:t xml:space="preserve"> </w:t>
      </w:r>
    </w:p>
    <w:p w:rsidR="0052724D" w:rsidRPr="004E73CE" w:rsidRDefault="0052724D" w:rsidP="0052724D">
      <w:pPr>
        <w:tabs>
          <w:tab w:val="left" w:pos="1440"/>
        </w:tabs>
        <w:spacing w:line="360" w:lineRule="auto"/>
        <w:ind w:left="720"/>
        <w:rPr>
          <w:b/>
          <w:color w:val="333333"/>
        </w:rPr>
      </w:pPr>
    </w:p>
    <w:p w:rsidR="0052724D" w:rsidRDefault="0052724D" w:rsidP="003875FE">
      <w:pPr>
        <w:tabs>
          <w:tab w:val="left" w:pos="360"/>
        </w:tabs>
        <w:suppressAutoHyphens/>
        <w:spacing w:line="360" w:lineRule="auto"/>
        <w:jc w:val="both"/>
        <w:rPr>
          <w:rFonts w:eastAsia="SimSun"/>
          <w:kern w:val="1"/>
          <w:sz w:val="20"/>
          <w:szCs w:val="20"/>
          <w:lang w:eastAsia="hi-IN" w:bidi="hi-IN"/>
        </w:rPr>
      </w:pPr>
    </w:p>
    <w:p w:rsidR="004E73CE" w:rsidRDefault="004E73CE" w:rsidP="003875FE">
      <w:pPr>
        <w:tabs>
          <w:tab w:val="left" w:pos="360"/>
        </w:tabs>
        <w:suppressAutoHyphens/>
        <w:spacing w:line="360" w:lineRule="auto"/>
        <w:jc w:val="both"/>
        <w:rPr>
          <w:rFonts w:eastAsia="SimSun"/>
          <w:kern w:val="1"/>
          <w:sz w:val="20"/>
          <w:szCs w:val="20"/>
          <w:lang w:eastAsia="hi-IN" w:bidi="hi-IN"/>
        </w:rPr>
      </w:pPr>
    </w:p>
    <w:p w:rsidR="004E73CE" w:rsidRDefault="004E73CE" w:rsidP="003875FE">
      <w:pPr>
        <w:tabs>
          <w:tab w:val="left" w:pos="360"/>
        </w:tabs>
        <w:suppressAutoHyphens/>
        <w:spacing w:line="360" w:lineRule="auto"/>
        <w:jc w:val="both"/>
        <w:rPr>
          <w:rFonts w:eastAsia="SimSun"/>
          <w:kern w:val="1"/>
          <w:sz w:val="20"/>
          <w:szCs w:val="20"/>
          <w:lang w:eastAsia="hi-IN" w:bidi="hi-IN"/>
        </w:rPr>
      </w:pPr>
    </w:p>
    <w:p w:rsidR="003875FE" w:rsidRPr="004E73CE" w:rsidRDefault="003875FE" w:rsidP="003875FE">
      <w:pPr>
        <w:suppressAutoHyphens/>
        <w:spacing w:line="360" w:lineRule="auto"/>
        <w:rPr>
          <w:rFonts w:eastAsia="SimSun"/>
          <w:kern w:val="1"/>
          <w:sz w:val="20"/>
          <w:lang w:eastAsia="hi-IN" w:bidi="hi-IN"/>
        </w:rPr>
      </w:pPr>
    </w:p>
    <w:p w:rsidR="003875FE" w:rsidRPr="004E73CE" w:rsidRDefault="007079BF" w:rsidP="003875FE">
      <w:pPr>
        <w:suppressAutoHyphens/>
        <w:spacing w:line="360" w:lineRule="auto"/>
        <w:jc w:val="both"/>
        <w:rPr>
          <w:rFonts w:eastAsia="SimSun"/>
          <w:i/>
          <w:kern w:val="1"/>
          <w:szCs w:val="20"/>
          <w:u w:val="single"/>
          <w:lang w:eastAsia="hi-IN" w:bidi="hi-IN"/>
        </w:rPr>
      </w:pPr>
      <w:r w:rsidRPr="004E73CE">
        <w:rPr>
          <w:rFonts w:eastAsia="SimSun"/>
          <w:i/>
          <w:kern w:val="1"/>
          <w:szCs w:val="20"/>
          <w:lang w:eastAsia="hi-IN" w:bidi="hi-IN"/>
        </w:rPr>
        <w:t>12</w:t>
      </w:r>
      <w:r w:rsidR="003875FE" w:rsidRPr="004E73CE">
        <w:rPr>
          <w:rFonts w:eastAsia="SimSun"/>
          <w:i/>
          <w:kern w:val="1"/>
          <w:szCs w:val="20"/>
          <w:lang w:eastAsia="hi-IN" w:bidi="hi-IN"/>
        </w:rPr>
        <w:t xml:space="preserve">. </w:t>
      </w:r>
      <w:r w:rsidR="003875FE" w:rsidRPr="004E73CE">
        <w:rPr>
          <w:rFonts w:eastAsia="SimSun"/>
          <w:i/>
          <w:kern w:val="1"/>
          <w:szCs w:val="20"/>
          <w:u w:val="single"/>
          <w:lang w:eastAsia="hi-IN" w:bidi="hi-IN"/>
        </w:rPr>
        <w:t>Άλλα σημαντικά γεγονότα</w:t>
      </w:r>
    </w:p>
    <w:p w:rsidR="003875FE" w:rsidRPr="004E73CE" w:rsidRDefault="003875FE" w:rsidP="003875FE">
      <w:pPr>
        <w:suppressAutoHyphens/>
        <w:spacing w:line="360" w:lineRule="auto"/>
        <w:jc w:val="both"/>
        <w:rPr>
          <w:bCs/>
          <w:color w:val="000000"/>
          <w:spacing w:val="-2"/>
        </w:rPr>
      </w:pPr>
      <w:r w:rsidRPr="004E73CE">
        <w:rPr>
          <w:bCs/>
          <w:color w:val="000000"/>
          <w:spacing w:val="-2"/>
        </w:rPr>
        <w:t>Από τη λήξη της κλειόμενης χρήσεως 31/12/201</w:t>
      </w:r>
      <w:r w:rsidR="00525943" w:rsidRPr="00525943">
        <w:rPr>
          <w:bCs/>
          <w:color w:val="000000"/>
          <w:spacing w:val="-2"/>
        </w:rPr>
        <w:t>8</w:t>
      </w:r>
      <w:r w:rsidRPr="004E73CE">
        <w:rPr>
          <w:bCs/>
          <w:color w:val="000000"/>
          <w:spacing w:val="-2"/>
        </w:rPr>
        <w:t xml:space="preserve"> μέχρι την ημέρα της σύνταξης της παρούσας έκθεσης δεν συνέβησαν άλλα σημαντικά γεγονότα που θα έπρεπε να αναφερθούν στην παρούσα έκθεση και η όλη πορεία των εργασιών της εταιρείας βαίνει ομαλά.</w:t>
      </w:r>
    </w:p>
    <w:p w:rsidR="003875FE" w:rsidRPr="004E73CE" w:rsidRDefault="003875FE" w:rsidP="003875FE">
      <w:pPr>
        <w:suppressAutoHyphens/>
        <w:spacing w:line="360" w:lineRule="auto"/>
        <w:jc w:val="both"/>
        <w:rPr>
          <w:rFonts w:eastAsia="SimSun"/>
          <w:kern w:val="1"/>
          <w:sz w:val="20"/>
          <w:szCs w:val="20"/>
          <w:lang w:eastAsia="hi-IN" w:bidi="hi-IN"/>
        </w:rPr>
      </w:pPr>
    </w:p>
    <w:p w:rsidR="003875FE" w:rsidRPr="007B6F5D" w:rsidRDefault="003875FE" w:rsidP="003875FE">
      <w:pPr>
        <w:spacing w:line="360" w:lineRule="auto"/>
        <w:jc w:val="center"/>
        <w:rPr>
          <w:lang w:val="en-US"/>
        </w:rPr>
      </w:pPr>
      <w:r w:rsidRPr="00F36690">
        <w:t xml:space="preserve">Βύρωνας, </w:t>
      </w:r>
      <w:r w:rsidR="007B6F5D" w:rsidRPr="00F36690">
        <w:rPr>
          <w:lang w:val="en-US"/>
        </w:rPr>
        <w:t xml:space="preserve">24 </w:t>
      </w:r>
      <w:r w:rsidRPr="00F36690">
        <w:t>Ιου</w:t>
      </w:r>
      <w:r w:rsidR="004E73CE" w:rsidRPr="00F36690">
        <w:t>λ</w:t>
      </w:r>
      <w:r w:rsidRPr="00F36690">
        <w:t>ίου 201</w:t>
      </w:r>
      <w:r w:rsidR="007B6F5D" w:rsidRPr="00F36690">
        <w:rPr>
          <w:lang w:val="en-US"/>
        </w:rPr>
        <w:t>9</w:t>
      </w:r>
    </w:p>
    <w:p w:rsidR="003875FE" w:rsidRPr="004E73CE" w:rsidRDefault="003875FE" w:rsidP="003875FE">
      <w:pPr>
        <w:spacing w:line="360" w:lineRule="auto"/>
        <w:jc w:val="center"/>
      </w:pPr>
    </w:p>
    <w:tbl>
      <w:tblPr>
        <w:tblW w:w="9039" w:type="dxa"/>
        <w:tblLook w:val="04A0" w:firstRow="1" w:lastRow="0" w:firstColumn="1" w:lastColumn="0" w:noHBand="0" w:noVBand="1"/>
      </w:tblPr>
      <w:tblGrid>
        <w:gridCol w:w="2812"/>
        <w:gridCol w:w="2894"/>
        <w:gridCol w:w="3333"/>
      </w:tblGrid>
      <w:tr w:rsidR="003875FE" w:rsidRPr="004E73CE" w:rsidTr="0052724D">
        <w:tc>
          <w:tcPr>
            <w:tcW w:w="2812" w:type="dxa"/>
            <w:shd w:val="clear" w:color="auto" w:fill="auto"/>
          </w:tcPr>
          <w:p w:rsidR="003875FE" w:rsidRPr="004E73CE" w:rsidRDefault="003875FE" w:rsidP="008D6173">
            <w:pPr>
              <w:widowControl w:val="0"/>
              <w:tabs>
                <w:tab w:val="left" w:pos="5670"/>
                <w:tab w:val="right" w:pos="7796"/>
              </w:tabs>
              <w:spacing w:line="360" w:lineRule="auto"/>
              <w:jc w:val="center"/>
            </w:pPr>
            <w:r w:rsidRPr="004E73CE">
              <w:t>Ο ΠΡΟΕΔΡΟΣ ΤΟΥ Δ.Σ.</w:t>
            </w:r>
          </w:p>
        </w:tc>
        <w:tc>
          <w:tcPr>
            <w:tcW w:w="2894" w:type="dxa"/>
            <w:shd w:val="clear" w:color="auto" w:fill="auto"/>
          </w:tcPr>
          <w:p w:rsidR="003875FE" w:rsidRPr="004E73CE" w:rsidRDefault="003875FE" w:rsidP="008D6173">
            <w:pPr>
              <w:widowControl w:val="0"/>
              <w:tabs>
                <w:tab w:val="left" w:pos="5670"/>
                <w:tab w:val="right" w:pos="7796"/>
              </w:tabs>
              <w:spacing w:line="360" w:lineRule="auto"/>
              <w:jc w:val="center"/>
            </w:pPr>
            <w:r w:rsidRPr="004E73CE">
              <w:t>ΤΟ ΜΕΛΟΣ ΤΟΥ ΔΣ</w:t>
            </w:r>
          </w:p>
        </w:tc>
        <w:tc>
          <w:tcPr>
            <w:tcW w:w="3333" w:type="dxa"/>
            <w:shd w:val="clear" w:color="auto" w:fill="auto"/>
          </w:tcPr>
          <w:p w:rsidR="00464FC9" w:rsidRDefault="003875FE" w:rsidP="00525943">
            <w:pPr>
              <w:widowControl w:val="0"/>
              <w:tabs>
                <w:tab w:val="left" w:pos="5670"/>
                <w:tab w:val="right" w:pos="7796"/>
              </w:tabs>
              <w:jc w:val="center"/>
              <w:rPr>
                <w:rFonts w:ascii="Cambria" w:hAnsi="Cambria"/>
                <w:sz w:val="20"/>
              </w:rPr>
            </w:pPr>
            <w:r w:rsidRPr="004E73CE">
              <w:rPr>
                <w:sz w:val="20"/>
              </w:rPr>
              <w:t xml:space="preserve">    </w:t>
            </w:r>
            <w:r w:rsidR="00525943" w:rsidRPr="00C966BB">
              <w:rPr>
                <w:rFonts w:ascii="Cambria" w:hAnsi="Cambria"/>
                <w:sz w:val="20"/>
              </w:rPr>
              <w:t xml:space="preserve">ΓΙΑ ΤΗΝ </w:t>
            </w:r>
          </w:p>
          <w:p w:rsidR="00525943" w:rsidRDefault="00525943" w:rsidP="00525943">
            <w:pPr>
              <w:widowControl w:val="0"/>
              <w:tabs>
                <w:tab w:val="left" w:pos="5670"/>
                <w:tab w:val="right" w:pos="7796"/>
              </w:tabs>
              <w:jc w:val="center"/>
              <w:rPr>
                <w:rFonts w:ascii="Cambria" w:hAnsi="Cambria"/>
                <w:sz w:val="20"/>
              </w:rPr>
            </w:pPr>
            <w:r w:rsidRPr="00C966BB">
              <w:rPr>
                <w:rFonts w:ascii="Cambria" w:hAnsi="Cambria"/>
                <w:sz w:val="20"/>
              </w:rPr>
              <w:t xml:space="preserve">‘’ </w:t>
            </w:r>
            <w:r>
              <w:rPr>
                <w:rFonts w:ascii="Cambria" w:hAnsi="Cambria"/>
                <w:sz w:val="20"/>
                <w:lang w:val="en-US"/>
              </w:rPr>
              <w:t>e</w:t>
            </w:r>
            <w:r w:rsidRPr="00B5053F">
              <w:rPr>
                <w:rFonts w:ascii="Cambria" w:hAnsi="Cambria"/>
                <w:sz w:val="20"/>
              </w:rPr>
              <w:t>-</w:t>
            </w:r>
            <w:r>
              <w:rPr>
                <w:rFonts w:ascii="Cambria" w:hAnsi="Cambria"/>
                <w:sz w:val="20"/>
              </w:rPr>
              <w:t xml:space="preserve">Μέντωρ </w:t>
            </w:r>
            <w:r>
              <w:rPr>
                <w:rFonts w:ascii="Cambria" w:hAnsi="Cambria"/>
                <w:sz w:val="20"/>
                <w:lang w:val="en-US"/>
              </w:rPr>
              <w:t>Solutions</w:t>
            </w:r>
            <w:r w:rsidRPr="00B5053F">
              <w:rPr>
                <w:rFonts w:ascii="Cambria" w:hAnsi="Cambria"/>
                <w:sz w:val="20"/>
              </w:rPr>
              <w:t xml:space="preserve"> </w:t>
            </w:r>
            <w:r>
              <w:rPr>
                <w:rFonts w:ascii="Cambria" w:hAnsi="Cambria"/>
                <w:sz w:val="20"/>
                <w:lang w:val="en-US"/>
              </w:rPr>
              <w:t>IKE</w:t>
            </w:r>
            <w:r w:rsidRPr="00B5053F">
              <w:rPr>
                <w:rFonts w:ascii="Cambria" w:hAnsi="Cambria"/>
                <w:sz w:val="20"/>
              </w:rPr>
              <w:t>”</w:t>
            </w:r>
            <w:r w:rsidRPr="00C966BB">
              <w:rPr>
                <w:rFonts w:ascii="Cambria" w:hAnsi="Cambria"/>
                <w:sz w:val="20"/>
              </w:rPr>
              <w:t xml:space="preserve">   </w:t>
            </w:r>
          </w:p>
          <w:p w:rsidR="003875FE" w:rsidRPr="004E73CE" w:rsidRDefault="00525943" w:rsidP="00525943">
            <w:pPr>
              <w:widowControl w:val="0"/>
              <w:tabs>
                <w:tab w:val="left" w:pos="5670"/>
                <w:tab w:val="right" w:pos="7796"/>
              </w:tabs>
              <w:spacing w:line="360" w:lineRule="auto"/>
              <w:jc w:val="center"/>
              <w:rPr>
                <w:sz w:val="20"/>
              </w:rPr>
            </w:pPr>
            <w:r w:rsidRPr="00C966BB">
              <w:rPr>
                <w:rFonts w:ascii="Cambria" w:hAnsi="Cambria"/>
                <w:sz w:val="20"/>
              </w:rPr>
              <w:t xml:space="preserve"> 0 ΥΠΕΥΘΥΝΟΣ ΤΟΥ ΛΟΓΙΣΤΗΡΙΟΥ</w:t>
            </w:r>
          </w:p>
        </w:tc>
      </w:tr>
      <w:tr w:rsidR="003875FE" w:rsidRPr="004E73CE" w:rsidTr="0052724D">
        <w:tc>
          <w:tcPr>
            <w:tcW w:w="2812" w:type="dxa"/>
            <w:shd w:val="clear" w:color="auto" w:fill="auto"/>
          </w:tcPr>
          <w:p w:rsidR="003875FE" w:rsidRPr="004E73CE" w:rsidRDefault="003875FE" w:rsidP="008D6173">
            <w:pPr>
              <w:widowControl w:val="0"/>
              <w:tabs>
                <w:tab w:val="left" w:pos="5670"/>
                <w:tab w:val="right" w:pos="7796"/>
              </w:tabs>
              <w:spacing w:line="360" w:lineRule="auto"/>
              <w:jc w:val="center"/>
            </w:pPr>
          </w:p>
        </w:tc>
        <w:tc>
          <w:tcPr>
            <w:tcW w:w="2894" w:type="dxa"/>
            <w:shd w:val="clear" w:color="auto" w:fill="auto"/>
          </w:tcPr>
          <w:p w:rsidR="003875FE" w:rsidRPr="004E73CE" w:rsidRDefault="003875FE" w:rsidP="008D6173">
            <w:pPr>
              <w:widowControl w:val="0"/>
              <w:tabs>
                <w:tab w:val="left" w:pos="5670"/>
                <w:tab w:val="right" w:pos="7796"/>
              </w:tabs>
              <w:spacing w:line="360" w:lineRule="auto"/>
              <w:jc w:val="center"/>
            </w:pPr>
          </w:p>
        </w:tc>
        <w:tc>
          <w:tcPr>
            <w:tcW w:w="3333" w:type="dxa"/>
            <w:shd w:val="clear" w:color="auto" w:fill="auto"/>
          </w:tcPr>
          <w:p w:rsidR="003875FE" w:rsidRPr="004E73CE" w:rsidRDefault="003875FE" w:rsidP="008D6173">
            <w:pPr>
              <w:widowControl w:val="0"/>
              <w:tabs>
                <w:tab w:val="left" w:pos="5670"/>
                <w:tab w:val="right" w:pos="7796"/>
              </w:tabs>
              <w:spacing w:line="360" w:lineRule="auto"/>
              <w:jc w:val="center"/>
            </w:pPr>
          </w:p>
        </w:tc>
      </w:tr>
      <w:tr w:rsidR="003875FE" w:rsidRPr="004E73CE" w:rsidTr="0052724D">
        <w:tc>
          <w:tcPr>
            <w:tcW w:w="2812" w:type="dxa"/>
            <w:shd w:val="clear" w:color="auto" w:fill="auto"/>
          </w:tcPr>
          <w:p w:rsidR="003875FE" w:rsidRPr="004E73CE" w:rsidRDefault="003875FE" w:rsidP="008D6173">
            <w:pPr>
              <w:widowControl w:val="0"/>
              <w:tabs>
                <w:tab w:val="left" w:pos="5670"/>
                <w:tab w:val="right" w:pos="7796"/>
              </w:tabs>
              <w:spacing w:line="360" w:lineRule="auto"/>
              <w:jc w:val="center"/>
            </w:pPr>
            <w:r w:rsidRPr="004E73CE">
              <w:t xml:space="preserve">ΠΑΓΚΑΛΟΣ ΒΑΣΙΛΕΙΟΣ    </w:t>
            </w:r>
          </w:p>
        </w:tc>
        <w:tc>
          <w:tcPr>
            <w:tcW w:w="2894" w:type="dxa"/>
            <w:shd w:val="clear" w:color="auto" w:fill="auto"/>
          </w:tcPr>
          <w:p w:rsidR="003875FE" w:rsidRPr="004E73CE" w:rsidRDefault="003875FE" w:rsidP="008D6173">
            <w:pPr>
              <w:widowControl w:val="0"/>
              <w:tabs>
                <w:tab w:val="left" w:pos="5670"/>
                <w:tab w:val="right" w:pos="7796"/>
              </w:tabs>
              <w:spacing w:line="360" w:lineRule="auto"/>
              <w:jc w:val="center"/>
            </w:pPr>
            <w:r w:rsidRPr="004E73CE">
              <w:t xml:space="preserve">ΠΑΝΟΠΟΥΛΟΣ ΚΩΝ/ΝΟΣ          </w:t>
            </w:r>
          </w:p>
        </w:tc>
        <w:tc>
          <w:tcPr>
            <w:tcW w:w="3333" w:type="dxa"/>
            <w:shd w:val="clear" w:color="auto" w:fill="auto"/>
          </w:tcPr>
          <w:p w:rsidR="003875FE" w:rsidRPr="004E73CE" w:rsidRDefault="00464FC9" w:rsidP="008D6173">
            <w:pPr>
              <w:widowControl w:val="0"/>
              <w:tabs>
                <w:tab w:val="left" w:pos="5670"/>
                <w:tab w:val="right" w:pos="7796"/>
              </w:tabs>
              <w:spacing w:line="360" w:lineRule="auto"/>
              <w:jc w:val="center"/>
            </w:pPr>
            <w:r w:rsidRPr="00464FC9">
              <w:t>ΣΙΑΠΑΤΗΣ ΕΛΕΥΘΕΡΙΟΣ</w:t>
            </w:r>
          </w:p>
        </w:tc>
      </w:tr>
    </w:tbl>
    <w:p w:rsidR="003875FE" w:rsidRPr="004E73CE" w:rsidRDefault="003875FE" w:rsidP="003875FE">
      <w:pPr>
        <w:spacing w:line="360" w:lineRule="auto"/>
        <w:jc w:val="center"/>
      </w:pPr>
    </w:p>
    <w:p w:rsidR="004E73CE" w:rsidRPr="008B1E4B" w:rsidRDefault="004E73CE" w:rsidP="004E73CE">
      <w:pPr>
        <w:jc w:val="both"/>
        <w:rPr>
          <w:rFonts w:ascii="Arial" w:eastAsia="Calibri" w:hAnsi="Arial"/>
          <w:sz w:val="20"/>
          <w:szCs w:val="22"/>
          <w:lang w:eastAsia="en-US"/>
        </w:rPr>
      </w:pPr>
    </w:p>
    <w:p w:rsidR="00B90C37" w:rsidRPr="001A08E5" w:rsidRDefault="00B90C37" w:rsidP="00B90C37">
      <w:pPr>
        <w:spacing w:line="360" w:lineRule="auto"/>
        <w:jc w:val="both"/>
      </w:pPr>
      <w:r w:rsidRPr="001A08E5">
        <w:t xml:space="preserve">Βεβαιώνεται ότι η παρούσα έκθεση που αποτελείται από </w:t>
      </w:r>
      <w:r>
        <w:t>έξι (</w:t>
      </w:r>
      <w:r w:rsidRPr="003875FE">
        <w:t>6</w:t>
      </w:r>
      <w:r>
        <w:t xml:space="preserve">) </w:t>
      </w:r>
      <w:r w:rsidRPr="001A08E5">
        <w:t xml:space="preserve">σελίδες είναι αυτή που αναφέρεται στην έκθεση ελέγχου με </w:t>
      </w:r>
      <w:r w:rsidRPr="002B29FB">
        <w:t xml:space="preserve">ημερομηνία </w:t>
      </w:r>
      <w:r w:rsidRPr="009D50FC">
        <w:t>0</w:t>
      </w:r>
      <w:r w:rsidRPr="00B90C37">
        <w:t>1</w:t>
      </w:r>
      <w:r w:rsidRPr="002B29FB">
        <w:t xml:space="preserve"> </w:t>
      </w:r>
      <w:r>
        <w:t>Αυγούστ</w:t>
      </w:r>
      <w:r w:rsidRPr="002B29FB">
        <w:t>ου 201</w:t>
      </w:r>
      <w:r>
        <w:t>9</w:t>
      </w:r>
      <w:r w:rsidRPr="002B29FB">
        <w:t xml:space="preserve"> και</w:t>
      </w:r>
      <w:r w:rsidRPr="001A08E5">
        <w:t xml:space="preserve"> αναφέρεται στις οικονομικές καταστάσεις της 31/12/1</w:t>
      </w:r>
      <w:r>
        <w:t>8</w:t>
      </w:r>
      <w:r w:rsidRPr="001A08E5">
        <w:t xml:space="preserve"> της «ΔΗΜΟΤΙΚΗΣ ΕΠΙΧΕΙΡΗΣΗΣ ΑΝΑΠΤΥΞΗΣ ΔΗΜΟΥ ΒΥΡΩΝΑ Α.Ε. ΟΤΑ»</w:t>
      </w:r>
    </w:p>
    <w:p w:rsidR="00B90C37" w:rsidRPr="001A08E5" w:rsidRDefault="00B90C37" w:rsidP="00B90C37">
      <w:pPr>
        <w:widowControl w:val="0"/>
        <w:tabs>
          <w:tab w:val="left" w:pos="5670"/>
          <w:tab w:val="right" w:pos="7796"/>
        </w:tabs>
        <w:spacing w:before="86" w:line="360" w:lineRule="auto"/>
        <w:jc w:val="center"/>
        <w:rPr>
          <w:bCs/>
        </w:rPr>
      </w:pPr>
      <w:r w:rsidRPr="00E379C5">
        <w:rPr>
          <w:bCs/>
        </w:rPr>
        <w:t>Αθήνα</w:t>
      </w:r>
      <w:r w:rsidRPr="002B29FB">
        <w:rPr>
          <w:bCs/>
        </w:rPr>
        <w:t xml:space="preserve">, </w:t>
      </w:r>
      <w:r w:rsidRPr="00B90C37">
        <w:rPr>
          <w:bCs/>
        </w:rPr>
        <w:t>0</w:t>
      </w:r>
      <w:r>
        <w:rPr>
          <w:bCs/>
        </w:rPr>
        <w:t>1</w:t>
      </w:r>
      <w:r w:rsidRPr="00B90C37">
        <w:rPr>
          <w:bCs/>
        </w:rPr>
        <w:t>.0</w:t>
      </w:r>
      <w:r>
        <w:rPr>
          <w:bCs/>
        </w:rPr>
        <w:t>8</w:t>
      </w:r>
      <w:r w:rsidRPr="002B29FB">
        <w:rPr>
          <w:bCs/>
        </w:rPr>
        <w:t>.201</w:t>
      </w:r>
      <w:r>
        <w:rPr>
          <w:bCs/>
        </w:rPr>
        <w:t>9</w:t>
      </w:r>
    </w:p>
    <w:p w:rsidR="00B90C37" w:rsidRPr="001A08E5" w:rsidRDefault="00B90C37" w:rsidP="00B90C37">
      <w:pPr>
        <w:widowControl w:val="0"/>
        <w:tabs>
          <w:tab w:val="left" w:pos="5670"/>
          <w:tab w:val="right" w:pos="7796"/>
        </w:tabs>
        <w:spacing w:before="86" w:line="360" w:lineRule="auto"/>
        <w:jc w:val="center"/>
        <w:rPr>
          <w:bCs/>
        </w:rPr>
      </w:pPr>
      <w:r>
        <w:rPr>
          <w:rFonts w:ascii="Calibri" w:hAnsi="Calibri"/>
          <w:noProof/>
          <w:sz w:val="22"/>
          <w:szCs w:val="22"/>
        </w:rPr>
        <w:drawing>
          <wp:anchor distT="0" distB="0" distL="114300" distR="114300" simplePos="0" relativeHeight="251658240" behindDoc="1" locked="0" layoutInCell="1" allowOverlap="1" wp14:anchorId="5AF2C59E" wp14:editId="2E9432FD">
            <wp:simplePos x="0" y="0"/>
            <wp:positionH relativeFrom="column">
              <wp:posOffset>1906</wp:posOffset>
            </wp:positionH>
            <wp:positionV relativeFrom="paragraph">
              <wp:posOffset>313055</wp:posOffset>
            </wp:positionV>
            <wp:extent cx="1188720" cy="262647"/>
            <wp:effectExtent l="0" t="0" r="0" b="0"/>
            <wp:wrapNone/>
            <wp:docPr id="4" name="Εικόνα 4"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SOL_CROWE_LOGO_FINAL"/>
                    <pic:cNvPicPr>
                      <a:picLocks noChangeAspect="1" noChangeArrowheads="1"/>
                    </pic:cNvPicPr>
                  </pic:nvPicPr>
                  <pic:blipFill>
                    <a:blip r:embed="rId8" cstate="print">
                      <a:extLst>
                        <a:ext uri="{28A0092B-C50C-407E-A947-70E740481C1C}">
                          <a14:useLocalDpi xmlns:a14="http://schemas.microsoft.com/office/drawing/2010/main" val="0"/>
                        </a:ext>
                      </a:extLst>
                    </a:blip>
                    <a:srcRect l="2344"/>
                    <a:stretch>
                      <a:fillRect/>
                    </a:stretch>
                  </pic:blipFill>
                  <pic:spPr bwMode="auto">
                    <a:xfrm>
                      <a:off x="0" y="0"/>
                      <a:ext cx="1279918" cy="282797"/>
                    </a:xfrm>
                    <a:prstGeom prst="rect">
                      <a:avLst/>
                    </a:prstGeom>
                    <a:noFill/>
                    <a:ln>
                      <a:noFill/>
                    </a:ln>
                  </pic:spPr>
                </pic:pic>
              </a:graphicData>
            </a:graphic>
            <wp14:sizeRelH relativeFrom="page">
              <wp14:pctWidth>0</wp14:pctWidth>
            </wp14:sizeRelH>
            <wp14:sizeRelV relativeFrom="page">
              <wp14:pctHeight>0</wp14:pctHeight>
            </wp14:sizeRelV>
          </wp:anchor>
        </w:drawing>
      </w:r>
      <w:r>
        <w:rPr>
          <w:bCs/>
        </w:rPr>
        <w:t>Ο</w:t>
      </w:r>
      <w:r w:rsidRPr="00E379C5">
        <w:rPr>
          <w:bCs/>
        </w:rPr>
        <w:t xml:space="preserve">  ΟΡΚΩΤΟΣ ΕΛΕΓΚΤΗΣ ΛΟΓΙΣΤΗΣ</w:t>
      </w:r>
    </w:p>
    <w:p w:rsidR="00B90C37" w:rsidRPr="001A08E5" w:rsidRDefault="00B90C37" w:rsidP="00B90C37">
      <w:pPr>
        <w:widowControl w:val="0"/>
        <w:tabs>
          <w:tab w:val="left" w:pos="5670"/>
          <w:tab w:val="right" w:pos="7796"/>
        </w:tabs>
        <w:spacing w:before="86" w:line="360" w:lineRule="auto"/>
        <w:jc w:val="center"/>
        <w:rPr>
          <w:bCs/>
        </w:rPr>
      </w:pPr>
    </w:p>
    <w:p w:rsidR="00B90C37" w:rsidRPr="001A08E5" w:rsidRDefault="00B90C37" w:rsidP="00B90C37">
      <w:pPr>
        <w:pStyle w:val="2"/>
        <w:widowControl w:val="0"/>
        <w:tabs>
          <w:tab w:val="left" w:pos="5670"/>
          <w:tab w:val="right" w:pos="7796"/>
        </w:tabs>
        <w:jc w:val="center"/>
        <w:rPr>
          <w:bCs/>
          <w:sz w:val="22"/>
          <w:szCs w:val="22"/>
        </w:rPr>
      </w:pPr>
      <w:r>
        <w:rPr>
          <w:bCs/>
          <w:sz w:val="22"/>
          <w:szCs w:val="22"/>
        </w:rPr>
        <w:t>ΔΗΜΗΤΡΗΣ Χ. ΣΚΟΝΔΡΟΓΙΑΝΝΗΣ</w:t>
      </w:r>
    </w:p>
    <w:p w:rsidR="00B90C37" w:rsidRPr="001A08E5" w:rsidRDefault="00B90C37" w:rsidP="00B90C37">
      <w:pPr>
        <w:pStyle w:val="2"/>
        <w:widowControl w:val="0"/>
        <w:tabs>
          <w:tab w:val="left" w:pos="5670"/>
          <w:tab w:val="right" w:pos="7796"/>
        </w:tabs>
        <w:jc w:val="center"/>
        <w:rPr>
          <w:bCs/>
          <w:sz w:val="22"/>
          <w:szCs w:val="22"/>
        </w:rPr>
      </w:pPr>
      <w:r w:rsidRPr="001A08E5">
        <w:rPr>
          <w:bCs/>
          <w:sz w:val="22"/>
          <w:szCs w:val="22"/>
        </w:rPr>
        <w:t>Α.Μ.  Σ.Ο.Ε.Λ. 1</w:t>
      </w:r>
      <w:r>
        <w:rPr>
          <w:bCs/>
          <w:sz w:val="22"/>
          <w:szCs w:val="22"/>
        </w:rPr>
        <w:t>46</w:t>
      </w:r>
      <w:r w:rsidRPr="001A08E5">
        <w:rPr>
          <w:bCs/>
          <w:sz w:val="22"/>
          <w:szCs w:val="22"/>
        </w:rPr>
        <w:t>71</w:t>
      </w:r>
    </w:p>
    <w:p w:rsidR="00B90C37" w:rsidRPr="001730B4" w:rsidRDefault="00B90C37" w:rsidP="00B90C37">
      <w:pPr>
        <w:pStyle w:val="2"/>
        <w:widowControl w:val="0"/>
        <w:tabs>
          <w:tab w:val="left" w:pos="5670"/>
          <w:tab w:val="right" w:pos="7796"/>
        </w:tabs>
        <w:jc w:val="center"/>
        <w:rPr>
          <w:bCs/>
          <w:sz w:val="22"/>
          <w:szCs w:val="22"/>
        </w:rPr>
      </w:pPr>
      <w:bookmarkStart w:id="0" w:name="_GoBack"/>
      <w:bookmarkEnd w:id="0"/>
      <w:r w:rsidRPr="001A08E5">
        <w:rPr>
          <w:bCs/>
          <w:sz w:val="22"/>
          <w:szCs w:val="22"/>
        </w:rPr>
        <w:t>Σ.Ο.Λ.  α.ε.ο.ε</w:t>
      </w:r>
    </w:p>
    <w:sectPr w:rsidR="00B90C37" w:rsidRPr="001730B4" w:rsidSect="00735B8F">
      <w:footerReference w:type="even" r:id="rId9"/>
      <w:footerReference w:type="default" r:id="rId10"/>
      <w:pgSz w:w="11906" w:h="16838"/>
      <w:pgMar w:top="1440" w:right="170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6DA" w:rsidRDefault="009C06DA">
      <w:r>
        <w:separator/>
      </w:r>
    </w:p>
  </w:endnote>
  <w:endnote w:type="continuationSeparator" w:id="0">
    <w:p w:rsidR="009C06DA" w:rsidRDefault="009C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B8F" w:rsidRDefault="001C5300" w:rsidP="00735B8F">
    <w:pPr>
      <w:pStyle w:val="a3"/>
      <w:framePr w:wrap="around" w:vAnchor="text" w:hAnchor="margin" w:xAlign="right" w:y="1"/>
      <w:rPr>
        <w:rStyle w:val="a4"/>
      </w:rPr>
    </w:pPr>
    <w:r>
      <w:rPr>
        <w:rStyle w:val="a4"/>
      </w:rPr>
      <w:fldChar w:fldCharType="begin"/>
    </w:r>
    <w:r w:rsidR="00735B8F">
      <w:rPr>
        <w:rStyle w:val="a4"/>
      </w:rPr>
      <w:instrText xml:space="preserve">PAGE  </w:instrText>
    </w:r>
    <w:r>
      <w:rPr>
        <w:rStyle w:val="a4"/>
      </w:rPr>
      <w:fldChar w:fldCharType="end"/>
    </w:r>
  </w:p>
  <w:p w:rsidR="00735B8F" w:rsidRDefault="00735B8F" w:rsidP="00735B8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B8F" w:rsidRDefault="001C5300" w:rsidP="00735B8F">
    <w:pPr>
      <w:pStyle w:val="a3"/>
      <w:framePr w:wrap="around" w:vAnchor="text" w:hAnchor="margin" w:xAlign="right" w:y="1"/>
      <w:rPr>
        <w:rStyle w:val="a4"/>
      </w:rPr>
    </w:pPr>
    <w:r>
      <w:rPr>
        <w:rStyle w:val="a4"/>
      </w:rPr>
      <w:fldChar w:fldCharType="begin"/>
    </w:r>
    <w:r w:rsidR="00735B8F">
      <w:rPr>
        <w:rStyle w:val="a4"/>
      </w:rPr>
      <w:instrText xml:space="preserve">PAGE  </w:instrText>
    </w:r>
    <w:r>
      <w:rPr>
        <w:rStyle w:val="a4"/>
      </w:rPr>
      <w:fldChar w:fldCharType="separate"/>
    </w:r>
    <w:r w:rsidR="000B5C3F">
      <w:rPr>
        <w:rStyle w:val="a4"/>
        <w:noProof/>
      </w:rPr>
      <w:t>6</w:t>
    </w:r>
    <w:r>
      <w:rPr>
        <w:rStyle w:val="a4"/>
      </w:rPr>
      <w:fldChar w:fldCharType="end"/>
    </w:r>
  </w:p>
  <w:p w:rsidR="00735B8F" w:rsidRDefault="00735B8F" w:rsidP="00735B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6DA" w:rsidRDefault="009C06DA">
      <w:r>
        <w:separator/>
      </w:r>
    </w:p>
  </w:footnote>
  <w:footnote w:type="continuationSeparator" w:id="0">
    <w:p w:rsidR="009C06DA" w:rsidRDefault="009C0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eastAsia="Times New Roman"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520" w:hanging="1080"/>
      </w:pPr>
      <w:rPr>
        <w:rFonts w:cs="Times New Roman"/>
      </w:rPr>
    </w:lvl>
    <w:lvl w:ilvl="4">
      <w:start w:val="1"/>
      <w:numFmt w:val="decimal"/>
      <w:lvlText w:val="%1.%2.%3.%4.%5"/>
      <w:lvlJc w:val="left"/>
      <w:pPr>
        <w:tabs>
          <w:tab w:val="num" w:pos="0"/>
        </w:tabs>
        <w:ind w:left="3600" w:hanging="1080"/>
      </w:pPr>
      <w:rPr>
        <w:rFonts w:cs="Times New Roman"/>
      </w:rPr>
    </w:lvl>
    <w:lvl w:ilvl="5">
      <w:start w:val="1"/>
      <w:numFmt w:val="decimal"/>
      <w:lvlText w:val="%1.%2.%3.%4.%5.%6"/>
      <w:lvlJc w:val="left"/>
      <w:pPr>
        <w:tabs>
          <w:tab w:val="num" w:pos="0"/>
        </w:tabs>
        <w:ind w:left="5040" w:hanging="1440"/>
      </w:pPr>
      <w:rPr>
        <w:rFonts w:cs="Times New Roman"/>
      </w:rPr>
    </w:lvl>
    <w:lvl w:ilvl="6">
      <w:start w:val="1"/>
      <w:numFmt w:val="decimal"/>
      <w:lvlText w:val="%1.%2.%3.%4.%5.%6.%7"/>
      <w:lvlJc w:val="left"/>
      <w:pPr>
        <w:tabs>
          <w:tab w:val="num" w:pos="0"/>
        </w:tabs>
        <w:ind w:left="6480" w:hanging="1440"/>
      </w:pPr>
      <w:rPr>
        <w:rFonts w:cs="Times New Roman"/>
      </w:rPr>
    </w:lvl>
    <w:lvl w:ilvl="7">
      <w:start w:val="1"/>
      <w:numFmt w:val="decimal"/>
      <w:lvlText w:val="%1.%2.%3.%4.%5.%6.%7.%8"/>
      <w:lvlJc w:val="left"/>
      <w:pPr>
        <w:tabs>
          <w:tab w:val="num" w:pos="0"/>
        </w:tabs>
        <w:ind w:left="8280" w:hanging="1800"/>
      </w:pPr>
      <w:rPr>
        <w:rFonts w:cs="Times New Roman"/>
      </w:rPr>
    </w:lvl>
    <w:lvl w:ilvl="8">
      <w:start w:val="1"/>
      <w:numFmt w:val="decimal"/>
      <w:lvlText w:val="%1.%2.%3.%4.%5.%6.%7.%8.%9"/>
      <w:lvlJc w:val="left"/>
      <w:pPr>
        <w:tabs>
          <w:tab w:val="num" w:pos="0"/>
        </w:tabs>
        <w:ind w:left="10080" w:hanging="1800"/>
      </w:pPr>
      <w:rPr>
        <w:rFonts w:cs="Times New Roman"/>
      </w:rPr>
    </w:lvl>
  </w:abstractNum>
  <w:abstractNum w:abstractNumId="1" w15:restartNumberingAfterBreak="0">
    <w:nsid w:val="00000003"/>
    <w:multiLevelType w:val="multilevel"/>
    <w:tmpl w:val="38AEFA40"/>
    <w:name w:val="WWNum6"/>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42E099A"/>
    <w:multiLevelType w:val="hybridMultilevel"/>
    <w:tmpl w:val="608C70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B0F200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5D66B1"/>
    <w:multiLevelType w:val="hybridMultilevel"/>
    <w:tmpl w:val="F3E89CF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5B8F"/>
    <w:rsid w:val="0000198D"/>
    <w:rsid w:val="000052CA"/>
    <w:rsid w:val="00032EFC"/>
    <w:rsid w:val="00033498"/>
    <w:rsid w:val="00037E2C"/>
    <w:rsid w:val="000A231F"/>
    <w:rsid w:val="000B129F"/>
    <w:rsid w:val="000B33A7"/>
    <w:rsid w:val="000B50C9"/>
    <w:rsid w:val="000B5C3F"/>
    <w:rsid w:val="000C2945"/>
    <w:rsid w:val="00126979"/>
    <w:rsid w:val="001464E0"/>
    <w:rsid w:val="00164F88"/>
    <w:rsid w:val="00165B0F"/>
    <w:rsid w:val="00177D3B"/>
    <w:rsid w:val="001A6916"/>
    <w:rsid w:val="001C5300"/>
    <w:rsid w:val="001F3978"/>
    <w:rsid w:val="0020071A"/>
    <w:rsid w:val="0022003F"/>
    <w:rsid w:val="002221E4"/>
    <w:rsid w:val="00254217"/>
    <w:rsid w:val="0026448E"/>
    <w:rsid w:val="00265A73"/>
    <w:rsid w:val="00286763"/>
    <w:rsid w:val="002B2846"/>
    <w:rsid w:val="002B29FB"/>
    <w:rsid w:val="002C38B7"/>
    <w:rsid w:val="00331F76"/>
    <w:rsid w:val="00360884"/>
    <w:rsid w:val="00366B32"/>
    <w:rsid w:val="003875FE"/>
    <w:rsid w:val="0039776C"/>
    <w:rsid w:val="003A15BC"/>
    <w:rsid w:val="003A5E90"/>
    <w:rsid w:val="003B7C82"/>
    <w:rsid w:val="003C19D9"/>
    <w:rsid w:val="003D4AB7"/>
    <w:rsid w:val="003F3DE2"/>
    <w:rsid w:val="0041278E"/>
    <w:rsid w:val="00425519"/>
    <w:rsid w:val="00435675"/>
    <w:rsid w:val="0045449C"/>
    <w:rsid w:val="00460420"/>
    <w:rsid w:val="00462C9A"/>
    <w:rsid w:val="00464FC9"/>
    <w:rsid w:val="00481F77"/>
    <w:rsid w:val="004A3EDD"/>
    <w:rsid w:val="004D007E"/>
    <w:rsid w:val="004E226F"/>
    <w:rsid w:val="004E73CE"/>
    <w:rsid w:val="0050754D"/>
    <w:rsid w:val="0050767A"/>
    <w:rsid w:val="00525943"/>
    <w:rsid w:val="0052724D"/>
    <w:rsid w:val="00536AB2"/>
    <w:rsid w:val="00561C50"/>
    <w:rsid w:val="005A17BD"/>
    <w:rsid w:val="005C043D"/>
    <w:rsid w:val="005C6A4F"/>
    <w:rsid w:val="005D418C"/>
    <w:rsid w:val="005F2130"/>
    <w:rsid w:val="00605D8D"/>
    <w:rsid w:val="006229B5"/>
    <w:rsid w:val="00645B4F"/>
    <w:rsid w:val="00675679"/>
    <w:rsid w:val="0069369C"/>
    <w:rsid w:val="006F05F3"/>
    <w:rsid w:val="006F246F"/>
    <w:rsid w:val="0070058E"/>
    <w:rsid w:val="00702C6F"/>
    <w:rsid w:val="007079BF"/>
    <w:rsid w:val="00735B8F"/>
    <w:rsid w:val="00781062"/>
    <w:rsid w:val="007859EC"/>
    <w:rsid w:val="007B4958"/>
    <w:rsid w:val="007B6F5D"/>
    <w:rsid w:val="007C51A2"/>
    <w:rsid w:val="007D218D"/>
    <w:rsid w:val="007D7F8E"/>
    <w:rsid w:val="007E484A"/>
    <w:rsid w:val="00811207"/>
    <w:rsid w:val="00837B43"/>
    <w:rsid w:val="008453E8"/>
    <w:rsid w:val="008653DF"/>
    <w:rsid w:val="00873755"/>
    <w:rsid w:val="008D6173"/>
    <w:rsid w:val="008E560D"/>
    <w:rsid w:val="00902E6D"/>
    <w:rsid w:val="0096126B"/>
    <w:rsid w:val="0097519A"/>
    <w:rsid w:val="009912FB"/>
    <w:rsid w:val="009C06DA"/>
    <w:rsid w:val="009D1CF1"/>
    <w:rsid w:val="009D2CD3"/>
    <w:rsid w:val="009D50FC"/>
    <w:rsid w:val="009E310B"/>
    <w:rsid w:val="009F1CE1"/>
    <w:rsid w:val="00A07745"/>
    <w:rsid w:val="00A3116A"/>
    <w:rsid w:val="00A33B3D"/>
    <w:rsid w:val="00A56099"/>
    <w:rsid w:val="00A57173"/>
    <w:rsid w:val="00AA3BCF"/>
    <w:rsid w:val="00AA76CF"/>
    <w:rsid w:val="00AB00D4"/>
    <w:rsid w:val="00AE6654"/>
    <w:rsid w:val="00AF472F"/>
    <w:rsid w:val="00B136D7"/>
    <w:rsid w:val="00B1483B"/>
    <w:rsid w:val="00B220EA"/>
    <w:rsid w:val="00B44EAA"/>
    <w:rsid w:val="00B67442"/>
    <w:rsid w:val="00B90C37"/>
    <w:rsid w:val="00BA1879"/>
    <w:rsid w:val="00C06434"/>
    <w:rsid w:val="00C07590"/>
    <w:rsid w:val="00C1147F"/>
    <w:rsid w:val="00C11CA8"/>
    <w:rsid w:val="00C15541"/>
    <w:rsid w:val="00C21071"/>
    <w:rsid w:val="00C26580"/>
    <w:rsid w:val="00C50156"/>
    <w:rsid w:val="00C642E4"/>
    <w:rsid w:val="00C7459D"/>
    <w:rsid w:val="00C85957"/>
    <w:rsid w:val="00C93AE5"/>
    <w:rsid w:val="00C94384"/>
    <w:rsid w:val="00C9628A"/>
    <w:rsid w:val="00CA1D8D"/>
    <w:rsid w:val="00CF4F75"/>
    <w:rsid w:val="00D5415B"/>
    <w:rsid w:val="00D91DEB"/>
    <w:rsid w:val="00D979B5"/>
    <w:rsid w:val="00DE1D83"/>
    <w:rsid w:val="00DF7791"/>
    <w:rsid w:val="00E51CFA"/>
    <w:rsid w:val="00E54CCA"/>
    <w:rsid w:val="00E55E23"/>
    <w:rsid w:val="00E57476"/>
    <w:rsid w:val="00E65708"/>
    <w:rsid w:val="00E761C8"/>
    <w:rsid w:val="00EB1560"/>
    <w:rsid w:val="00EC0854"/>
    <w:rsid w:val="00F04907"/>
    <w:rsid w:val="00F04A0C"/>
    <w:rsid w:val="00F05B3C"/>
    <w:rsid w:val="00F10FB4"/>
    <w:rsid w:val="00F15964"/>
    <w:rsid w:val="00F36690"/>
    <w:rsid w:val="00F424C2"/>
    <w:rsid w:val="00F74B3D"/>
    <w:rsid w:val="00F9099C"/>
    <w:rsid w:val="00FC372D"/>
    <w:rsid w:val="00FE4F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C169B8-9251-4450-A031-D6ED79C9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B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35B8F"/>
    <w:pPr>
      <w:tabs>
        <w:tab w:val="center" w:pos="4153"/>
        <w:tab w:val="right" w:pos="8306"/>
      </w:tabs>
    </w:pPr>
  </w:style>
  <w:style w:type="character" w:styleId="a4">
    <w:name w:val="page number"/>
    <w:basedOn w:val="a0"/>
    <w:rsid w:val="00735B8F"/>
  </w:style>
  <w:style w:type="paragraph" w:styleId="a5">
    <w:name w:val="Balloon Text"/>
    <w:basedOn w:val="a"/>
    <w:link w:val="Char"/>
    <w:rsid w:val="0050754D"/>
    <w:rPr>
      <w:rFonts w:ascii="Segoe UI" w:hAnsi="Segoe UI"/>
      <w:sz w:val="18"/>
      <w:szCs w:val="18"/>
    </w:rPr>
  </w:style>
  <w:style w:type="character" w:customStyle="1" w:styleId="Char">
    <w:name w:val="Κείμενο πλαισίου Char"/>
    <w:link w:val="a5"/>
    <w:rsid w:val="0050754D"/>
    <w:rPr>
      <w:rFonts w:ascii="Segoe UI" w:hAnsi="Segoe UI" w:cs="Segoe UI"/>
      <w:sz w:val="18"/>
      <w:szCs w:val="18"/>
    </w:rPr>
  </w:style>
  <w:style w:type="paragraph" w:styleId="a6">
    <w:name w:val="List Paragraph"/>
    <w:basedOn w:val="a"/>
    <w:uiPriority w:val="34"/>
    <w:qFormat/>
    <w:rsid w:val="001A6916"/>
    <w:pPr>
      <w:spacing w:after="200" w:line="276" w:lineRule="auto"/>
      <w:ind w:left="720"/>
      <w:contextualSpacing/>
    </w:pPr>
    <w:rPr>
      <w:rFonts w:ascii="Calibri" w:eastAsia="Calibri" w:hAnsi="Calibri"/>
      <w:sz w:val="22"/>
      <w:szCs w:val="22"/>
      <w:lang w:val="en-US" w:eastAsia="en-US"/>
    </w:rPr>
  </w:style>
  <w:style w:type="paragraph" w:styleId="2">
    <w:name w:val="Body Text 2"/>
    <w:basedOn w:val="a"/>
    <w:link w:val="2Char"/>
    <w:rsid w:val="003875FE"/>
    <w:pPr>
      <w:spacing w:before="86" w:line="360" w:lineRule="auto"/>
      <w:jc w:val="both"/>
    </w:pPr>
    <w:rPr>
      <w:szCs w:val="20"/>
    </w:rPr>
  </w:style>
  <w:style w:type="character" w:customStyle="1" w:styleId="2Char">
    <w:name w:val="Σώμα κείμενου 2 Char"/>
    <w:link w:val="2"/>
    <w:rsid w:val="003875FE"/>
    <w:rPr>
      <w:sz w:val="24"/>
    </w:rPr>
  </w:style>
  <w:style w:type="paragraph" w:customStyle="1" w:styleId="yiv8246929700msonormal">
    <w:name w:val="yiv8246929700msonormal"/>
    <w:basedOn w:val="a"/>
    <w:rsid w:val="0052724D"/>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3229">
      <w:bodyDiv w:val="1"/>
      <w:marLeft w:val="0"/>
      <w:marRight w:val="0"/>
      <w:marTop w:val="0"/>
      <w:marBottom w:val="0"/>
      <w:divBdr>
        <w:top w:val="none" w:sz="0" w:space="0" w:color="auto"/>
        <w:left w:val="none" w:sz="0" w:space="0" w:color="auto"/>
        <w:bottom w:val="none" w:sz="0" w:space="0" w:color="auto"/>
        <w:right w:val="none" w:sz="0" w:space="0" w:color="auto"/>
      </w:divBdr>
    </w:div>
    <w:div w:id="146214168">
      <w:bodyDiv w:val="1"/>
      <w:marLeft w:val="0"/>
      <w:marRight w:val="0"/>
      <w:marTop w:val="0"/>
      <w:marBottom w:val="0"/>
      <w:divBdr>
        <w:top w:val="none" w:sz="0" w:space="0" w:color="auto"/>
        <w:left w:val="none" w:sz="0" w:space="0" w:color="auto"/>
        <w:bottom w:val="none" w:sz="0" w:space="0" w:color="auto"/>
        <w:right w:val="none" w:sz="0" w:space="0" w:color="auto"/>
      </w:divBdr>
    </w:div>
    <w:div w:id="149297317">
      <w:bodyDiv w:val="1"/>
      <w:marLeft w:val="0"/>
      <w:marRight w:val="0"/>
      <w:marTop w:val="0"/>
      <w:marBottom w:val="0"/>
      <w:divBdr>
        <w:top w:val="none" w:sz="0" w:space="0" w:color="auto"/>
        <w:left w:val="none" w:sz="0" w:space="0" w:color="auto"/>
        <w:bottom w:val="none" w:sz="0" w:space="0" w:color="auto"/>
        <w:right w:val="none" w:sz="0" w:space="0" w:color="auto"/>
      </w:divBdr>
    </w:div>
    <w:div w:id="218902925">
      <w:bodyDiv w:val="1"/>
      <w:marLeft w:val="0"/>
      <w:marRight w:val="0"/>
      <w:marTop w:val="0"/>
      <w:marBottom w:val="0"/>
      <w:divBdr>
        <w:top w:val="none" w:sz="0" w:space="0" w:color="auto"/>
        <w:left w:val="none" w:sz="0" w:space="0" w:color="auto"/>
        <w:bottom w:val="none" w:sz="0" w:space="0" w:color="auto"/>
        <w:right w:val="none" w:sz="0" w:space="0" w:color="auto"/>
      </w:divBdr>
    </w:div>
    <w:div w:id="370767164">
      <w:bodyDiv w:val="1"/>
      <w:marLeft w:val="0"/>
      <w:marRight w:val="0"/>
      <w:marTop w:val="0"/>
      <w:marBottom w:val="0"/>
      <w:divBdr>
        <w:top w:val="none" w:sz="0" w:space="0" w:color="auto"/>
        <w:left w:val="none" w:sz="0" w:space="0" w:color="auto"/>
        <w:bottom w:val="none" w:sz="0" w:space="0" w:color="auto"/>
        <w:right w:val="none" w:sz="0" w:space="0" w:color="auto"/>
      </w:divBdr>
    </w:div>
    <w:div w:id="422577937">
      <w:bodyDiv w:val="1"/>
      <w:marLeft w:val="0"/>
      <w:marRight w:val="0"/>
      <w:marTop w:val="0"/>
      <w:marBottom w:val="0"/>
      <w:divBdr>
        <w:top w:val="none" w:sz="0" w:space="0" w:color="auto"/>
        <w:left w:val="none" w:sz="0" w:space="0" w:color="auto"/>
        <w:bottom w:val="none" w:sz="0" w:space="0" w:color="auto"/>
        <w:right w:val="none" w:sz="0" w:space="0" w:color="auto"/>
      </w:divBdr>
    </w:div>
    <w:div w:id="577404513">
      <w:bodyDiv w:val="1"/>
      <w:marLeft w:val="0"/>
      <w:marRight w:val="0"/>
      <w:marTop w:val="0"/>
      <w:marBottom w:val="0"/>
      <w:divBdr>
        <w:top w:val="none" w:sz="0" w:space="0" w:color="auto"/>
        <w:left w:val="none" w:sz="0" w:space="0" w:color="auto"/>
        <w:bottom w:val="none" w:sz="0" w:space="0" w:color="auto"/>
        <w:right w:val="none" w:sz="0" w:space="0" w:color="auto"/>
      </w:divBdr>
    </w:div>
    <w:div w:id="630786187">
      <w:bodyDiv w:val="1"/>
      <w:marLeft w:val="0"/>
      <w:marRight w:val="0"/>
      <w:marTop w:val="0"/>
      <w:marBottom w:val="0"/>
      <w:divBdr>
        <w:top w:val="none" w:sz="0" w:space="0" w:color="auto"/>
        <w:left w:val="none" w:sz="0" w:space="0" w:color="auto"/>
        <w:bottom w:val="none" w:sz="0" w:space="0" w:color="auto"/>
        <w:right w:val="none" w:sz="0" w:space="0" w:color="auto"/>
      </w:divBdr>
    </w:div>
    <w:div w:id="684282905">
      <w:bodyDiv w:val="1"/>
      <w:marLeft w:val="0"/>
      <w:marRight w:val="0"/>
      <w:marTop w:val="0"/>
      <w:marBottom w:val="0"/>
      <w:divBdr>
        <w:top w:val="none" w:sz="0" w:space="0" w:color="auto"/>
        <w:left w:val="none" w:sz="0" w:space="0" w:color="auto"/>
        <w:bottom w:val="none" w:sz="0" w:space="0" w:color="auto"/>
        <w:right w:val="none" w:sz="0" w:space="0" w:color="auto"/>
      </w:divBdr>
    </w:div>
    <w:div w:id="694775230">
      <w:bodyDiv w:val="1"/>
      <w:marLeft w:val="0"/>
      <w:marRight w:val="0"/>
      <w:marTop w:val="0"/>
      <w:marBottom w:val="0"/>
      <w:divBdr>
        <w:top w:val="none" w:sz="0" w:space="0" w:color="auto"/>
        <w:left w:val="none" w:sz="0" w:space="0" w:color="auto"/>
        <w:bottom w:val="none" w:sz="0" w:space="0" w:color="auto"/>
        <w:right w:val="none" w:sz="0" w:space="0" w:color="auto"/>
      </w:divBdr>
    </w:div>
    <w:div w:id="759181709">
      <w:bodyDiv w:val="1"/>
      <w:marLeft w:val="0"/>
      <w:marRight w:val="0"/>
      <w:marTop w:val="0"/>
      <w:marBottom w:val="0"/>
      <w:divBdr>
        <w:top w:val="none" w:sz="0" w:space="0" w:color="auto"/>
        <w:left w:val="none" w:sz="0" w:space="0" w:color="auto"/>
        <w:bottom w:val="none" w:sz="0" w:space="0" w:color="auto"/>
        <w:right w:val="none" w:sz="0" w:space="0" w:color="auto"/>
      </w:divBdr>
    </w:div>
    <w:div w:id="778643251">
      <w:bodyDiv w:val="1"/>
      <w:marLeft w:val="0"/>
      <w:marRight w:val="0"/>
      <w:marTop w:val="0"/>
      <w:marBottom w:val="0"/>
      <w:divBdr>
        <w:top w:val="none" w:sz="0" w:space="0" w:color="auto"/>
        <w:left w:val="none" w:sz="0" w:space="0" w:color="auto"/>
        <w:bottom w:val="none" w:sz="0" w:space="0" w:color="auto"/>
        <w:right w:val="none" w:sz="0" w:space="0" w:color="auto"/>
      </w:divBdr>
    </w:div>
    <w:div w:id="824130763">
      <w:bodyDiv w:val="1"/>
      <w:marLeft w:val="0"/>
      <w:marRight w:val="0"/>
      <w:marTop w:val="0"/>
      <w:marBottom w:val="0"/>
      <w:divBdr>
        <w:top w:val="none" w:sz="0" w:space="0" w:color="auto"/>
        <w:left w:val="none" w:sz="0" w:space="0" w:color="auto"/>
        <w:bottom w:val="none" w:sz="0" w:space="0" w:color="auto"/>
        <w:right w:val="none" w:sz="0" w:space="0" w:color="auto"/>
      </w:divBdr>
    </w:div>
    <w:div w:id="845024449">
      <w:bodyDiv w:val="1"/>
      <w:marLeft w:val="0"/>
      <w:marRight w:val="0"/>
      <w:marTop w:val="0"/>
      <w:marBottom w:val="0"/>
      <w:divBdr>
        <w:top w:val="none" w:sz="0" w:space="0" w:color="auto"/>
        <w:left w:val="none" w:sz="0" w:space="0" w:color="auto"/>
        <w:bottom w:val="none" w:sz="0" w:space="0" w:color="auto"/>
        <w:right w:val="none" w:sz="0" w:space="0" w:color="auto"/>
      </w:divBdr>
    </w:div>
    <w:div w:id="909998336">
      <w:bodyDiv w:val="1"/>
      <w:marLeft w:val="0"/>
      <w:marRight w:val="0"/>
      <w:marTop w:val="0"/>
      <w:marBottom w:val="0"/>
      <w:divBdr>
        <w:top w:val="none" w:sz="0" w:space="0" w:color="auto"/>
        <w:left w:val="none" w:sz="0" w:space="0" w:color="auto"/>
        <w:bottom w:val="none" w:sz="0" w:space="0" w:color="auto"/>
        <w:right w:val="none" w:sz="0" w:space="0" w:color="auto"/>
      </w:divBdr>
    </w:div>
    <w:div w:id="920136750">
      <w:bodyDiv w:val="1"/>
      <w:marLeft w:val="0"/>
      <w:marRight w:val="0"/>
      <w:marTop w:val="0"/>
      <w:marBottom w:val="0"/>
      <w:divBdr>
        <w:top w:val="none" w:sz="0" w:space="0" w:color="auto"/>
        <w:left w:val="none" w:sz="0" w:space="0" w:color="auto"/>
        <w:bottom w:val="none" w:sz="0" w:space="0" w:color="auto"/>
        <w:right w:val="none" w:sz="0" w:space="0" w:color="auto"/>
      </w:divBdr>
    </w:div>
    <w:div w:id="931281792">
      <w:bodyDiv w:val="1"/>
      <w:marLeft w:val="0"/>
      <w:marRight w:val="0"/>
      <w:marTop w:val="0"/>
      <w:marBottom w:val="0"/>
      <w:divBdr>
        <w:top w:val="none" w:sz="0" w:space="0" w:color="auto"/>
        <w:left w:val="none" w:sz="0" w:space="0" w:color="auto"/>
        <w:bottom w:val="none" w:sz="0" w:space="0" w:color="auto"/>
        <w:right w:val="none" w:sz="0" w:space="0" w:color="auto"/>
      </w:divBdr>
    </w:div>
    <w:div w:id="944078159">
      <w:bodyDiv w:val="1"/>
      <w:marLeft w:val="0"/>
      <w:marRight w:val="0"/>
      <w:marTop w:val="0"/>
      <w:marBottom w:val="0"/>
      <w:divBdr>
        <w:top w:val="none" w:sz="0" w:space="0" w:color="auto"/>
        <w:left w:val="none" w:sz="0" w:space="0" w:color="auto"/>
        <w:bottom w:val="none" w:sz="0" w:space="0" w:color="auto"/>
        <w:right w:val="none" w:sz="0" w:space="0" w:color="auto"/>
      </w:divBdr>
    </w:div>
    <w:div w:id="1042631931">
      <w:bodyDiv w:val="1"/>
      <w:marLeft w:val="0"/>
      <w:marRight w:val="0"/>
      <w:marTop w:val="0"/>
      <w:marBottom w:val="0"/>
      <w:divBdr>
        <w:top w:val="none" w:sz="0" w:space="0" w:color="auto"/>
        <w:left w:val="none" w:sz="0" w:space="0" w:color="auto"/>
        <w:bottom w:val="none" w:sz="0" w:space="0" w:color="auto"/>
        <w:right w:val="none" w:sz="0" w:space="0" w:color="auto"/>
      </w:divBdr>
    </w:div>
    <w:div w:id="1120495864">
      <w:bodyDiv w:val="1"/>
      <w:marLeft w:val="0"/>
      <w:marRight w:val="0"/>
      <w:marTop w:val="0"/>
      <w:marBottom w:val="0"/>
      <w:divBdr>
        <w:top w:val="none" w:sz="0" w:space="0" w:color="auto"/>
        <w:left w:val="none" w:sz="0" w:space="0" w:color="auto"/>
        <w:bottom w:val="none" w:sz="0" w:space="0" w:color="auto"/>
        <w:right w:val="none" w:sz="0" w:space="0" w:color="auto"/>
      </w:divBdr>
    </w:div>
    <w:div w:id="1198851536">
      <w:bodyDiv w:val="1"/>
      <w:marLeft w:val="0"/>
      <w:marRight w:val="0"/>
      <w:marTop w:val="0"/>
      <w:marBottom w:val="0"/>
      <w:divBdr>
        <w:top w:val="none" w:sz="0" w:space="0" w:color="auto"/>
        <w:left w:val="none" w:sz="0" w:space="0" w:color="auto"/>
        <w:bottom w:val="none" w:sz="0" w:space="0" w:color="auto"/>
        <w:right w:val="none" w:sz="0" w:space="0" w:color="auto"/>
      </w:divBdr>
    </w:div>
    <w:div w:id="1285886443">
      <w:bodyDiv w:val="1"/>
      <w:marLeft w:val="0"/>
      <w:marRight w:val="0"/>
      <w:marTop w:val="0"/>
      <w:marBottom w:val="0"/>
      <w:divBdr>
        <w:top w:val="none" w:sz="0" w:space="0" w:color="auto"/>
        <w:left w:val="none" w:sz="0" w:space="0" w:color="auto"/>
        <w:bottom w:val="none" w:sz="0" w:space="0" w:color="auto"/>
        <w:right w:val="none" w:sz="0" w:space="0" w:color="auto"/>
      </w:divBdr>
    </w:div>
    <w:div w:id="1418746778">
      <w:bodyDiv w:val="1"/>
      <w:marLeft w:val="0"/>
      <w:marRight w:val="0"/>
      <w:marTop w:val="0"/>
      <w:marBottom w:val="0"/>
      <w:divBdr>
        <w:top w:val="none" w:sz="0" w:space="0" w:color="auto"/>
        <w:left w:val="none" w:sz="0" w:space="0" w:color="auto"/>
        <w:bottom w:val="none" w:sz="0" w:space="0" w:color="auto"/>
        <w:right w:val="none" w:sz="0" w:space="0" w:color="auto"/>
      </w:divBdr>
    </w:div>
    <w:div w:id="1927227338">
      <w:bodyDiv w:val="1"/>
      <w:marLeft w:val="0"/>
      <w:marRight w:val="0"/>
      <w:marTop w:val="0"/>
      <w:marBottom w:val="0"/>
      <w:divBdr>
        <w:top w:val="none" w:sz="0" w:space="0" w:color="auto"/>
        <w:left w:val="none" w:sz="0" w:space="0" w:color="auto"/>
        <w:bottom w:val="none" w:sz="0" w:space="0" w:color="auto"/>
        <w:right w:val="none" w:sz="0" w:space="0" w:color="auto"/>
      </w:divBdr>
    </w:div>
    <w:div w:id="2075622882">
      <w:bodyDiv w:val="1"/>
      <w:marLeft w:val="0"/>
      <w:marRight w:val="0"/>
      <w:marTop w:val="0"/>
      <w:marBottom w:val="0"/>
      <w:divBdr>
        <w:top w:val="none" w:sz="0" w:space="0" w:color="auto"/>
        <w:left w:val="none" w:sz="0" w:space="0" w:color="auto"/>
        <w:bottom w:val="none" w:sz="0" w:space="0" w:color="auto"/>
        <w:right w:val="none" w:sz="0" w:space="0" w:color="auto"/>
      </w:divBdr>
    </w:div>
    <w:div w:id="2111929987">
      <w:bodyDiv w:val="1"/>
      <w:marLeft w:val="0"/>
      <w:marRight w:val="0"/>
      <w:marTop w:val="0"/>
      <w:marBottom w:val="0"/>
      <w:divBdr>
        <w:top w:val="none" w:sz="0" w:space="0" w:color="auto"/>
        <w:left w:val="none" w:sz="0" w:space="0" w:color="auto"/>
        <w:bottom w:val="none" w:sz="0" w:space="0" w:color="auto"/>
        <w:right w:val="none" w:sz="0" w:space="0" w:color="auto"/>
      </w:divBdr>
    </w:div>
    <w:div w:id="2112508795">
      <w:bodyDiv w:val="1"/>
      <w:marLeft w:val="0"/>
      <w:marRight w:val="0"/>
      <w:marTop w:val="0"/>
      <w:marBottom w:val="0"/>
      <w:divBdr>
        <w:top w:val="none" w:sz="0" w:space="0" w:color="auto"/>
        <w:left w:val="none" w:sz="0" w:space="0" w:color="auto"/>
        <w:bottom w:val="none" w:sz="0" w:space="0" w:color="auto"/>
        <w:right w:val="none" w:sz="0" w:space="0" w:color="auto"/>
      </w:divBdr>
    </w:div>
    <w:div w:id="21170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6889-E28A-4B06-AF4A-004B4278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1184</Words>
  <Characters>6395</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ΕΚΘΕΣΗ ΔΙΑΧΕΙΡΙΣΗΣ</vt:lpstr>
      <vt:lpstr>ΕΚΘΕΣΗ ΔΙΑΧΕΙΡΙΣΗΣ </vt:lpstr>
    </vt:vector>
  </TitlesOfParts>
  <Company>Hewlett-Packard</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ΔΙΑΧΕΙΡΙΣΗΣ</dc:title>
  <dc:creator>ΔΗΜΗΤΡΗΣ</dc:creator>
  <cp:lastModifiedBy>Vasileios T. Koutsoulentis</cp:lastModifiedBy>
  <cp:revision>6</cp:revision>
  <cp:lastPrinted>2017-06-26T12:12:00Z</cp:lastPrinted>
  <dcterms:created xsi:type="dcterms:W3CDTF">2019-07-24T09:21:00Z</dcterms:created>
  <dcterms:modified xsi:type="dcterms:W3CDTF">2019-09-17T10:18:00Z</dcterms:modified>
</cp:coreProperties>
</file>